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outlineLvl w:val="0"/>
        <w:rPr>
          <w:sz w:val="28"/>
        </w:rPr>
      </w:pPr>
      <w:r>
        <w:rPr>
          <w:sz w:val="28"/>
        </w:rPr>
        <w:t>ПСКОВСКАЯ</w:t>
      </w:r>
      <w:r>
        <w:rPr>
          <w:sz w:val="28"/>
        </w:rPr>
        <w:t xml:space="preserve"> </w:t>
      </w:r>
      <w:r>
        <w:rPr>
          <w:sz w:val="28"/>
        </w:rPr>
        <w:t>ОБЛАСТЬ</w:t>
      </w:r>
    </w:p>
    <w:p w14:paraId="02000000">
      <w:pPr>
        <w:ind/>
        <w:jc w:val="center"/>
        <w:outlineLvl w:val="0"/>
        <w:rPr>
          <w:sz w:val="28"/>
        </w:rPr>
      </w:pPr>
      <w:r>
        <w:rPr>
          <w:sz w:val="28"/>
        </w:rPr>
        <w:t>МУНИЦИПАЛЬНОЕ ОБРАЗОВАНИЕ</w:t>
      </w:r>
      <w:r>
        <w:rPr>
          <w:sz w:val="28"/>
        </w:rPr>
        <w:t xml:space="preserve"> «</w:t>
      </w:r>
      <w:r>
        <w:rPr>
          <w:sz w:val="28"/>
        </w:rPr>
        <w:t>ДЕДОВИЧИ</w:t>
      </w:r>
      <w:r>
        <w:rPr>
          <w:sz w:val="28"/>
        </w:rPr>
        <w:t>»</w:t>
      </w:r>
    </w:p>
    <w:p w14:paraId="03000000">
      <w:pPr>
        <w:ind/>
        <w:jc w:val="center"/>
        <w:outlineLvl w:val="0"/>
        <w:rPr>
          <w:sz w:val="28"/>
        </w:rPr>
      </w:pPr>
      <w:r>
        <w:rPr>
          <w:sz w:val="28"/>
        </w:rPr>
        <w:t>АДМИНИСТРАЦИЯ</w:t>
      </w:r>
      <w:r>
        <w:rPr>
          <w:sz w:val="28"/>
        </w:rPr>
        <w:t xml:space="preserve">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/>
        <w:jc w:val="center"/>
        <w:outlineLvl w:val="0"/>
        <w:rPr>
          <w:sz w:val="28"/>
        </w:rPr>
      </w:pPr>
    </w:p>
    <w:p w14:paraId="07000000">
      <w:pPr>
        <w:ind/>
        <w:outlineLvl w:val="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 31</w:t>
      </w:r>
      <w:r>
        <w:rPr>
          <w:sz w:val="28"/>
        </w:rPr>
        <w:t>.10.2023</w:t>
      </w:r>
      <w:r>
        <w:rPr>
          <w:sz w:val="28"/>
        </w:rPr>
        <w:t xml:space="preserve">  </w:t>
      </w:r>
      <w:r>
        <w:rPr>
          <w:sz w:val="28"/>
        </w:rPr>
        <w:t>№</w:t>
      </w:r>
      <w:r>
        <w:rPr>
          <w:sz w:val="28"/>
        </w:rPr>
        <w:t xml:space="preserve"> </w:t>
      </w:r>
      <w:r>
        <w:rPr>
          <w:sz w:val="28"/>
        </w:rPr>
        <w:t>316</w:t>
      </w:r>
    </w:p>
    <w:p w14:paraId="08000000">
      <w:pPr>
        <w:rPr>
          <w:sz w:val="28"/>
        </w:rPr>
      </w:pPr>
    </w:p>
    <w:p w14:paraId="09000000">
      <w:pPr>
        <w:ind w:right="4818"/>
        <w:jc w:val="both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 xml:space="preserve">Основных направлений </w:t>
      </w:r>
      <w:r>
        <w:rPr>
          <w:sz w:val="28"/>
        </w:rPr>
        <w:t xml:space="preserve"> </w:t>
      </w:r>
      <w:r>
        <w:rPr>
          <w:sz w:val="28"/>
        </w:rPr>
        <w:t xml:space="preserve">бюджетной и налоговой политики </w:t>
      </w:r>
      <w:r>
        <w:rPr>
          <w:sz w:val="28"/>
        </w:rPr>
        <w:t xml:space="preserve">городского </w:t>
      </w:r>
      <w:r>
        <w:rPr>
          <w:sz w:val="28"/>
        </w:rPr>
        <w:t>поселения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 xml:space="preserve">на </w:t>
      </w:r>
      <w:r>
        <w:rPr>
          <w:sz w:val="28"/>
        </w:rPr>
        <w:t xml:space="preserve">2024 год и на плановый период </w:t>
      </w:r>
      <w:r>
        <w:rPr>
          <w:sz w:val="28"/>
        </w:rPr>
        <w:t xml:space="preserve"> </w:t>
      </w:r>
      <w:r>
        <w:rPr>
          <w:sz w:val="28"/>
        </w:rPr>
        <w:t xml:space="preserve">2025 и 2026 </w:t>
      </w:r>
      <w:r>
        <w:rPr>
          <w:sz w:val="28"/>
        </w:rPr>
        <w:t>год</w:t>
      </w:r>
      <w:r>
        <w:rPr>
          <w:sz w:val="28"/>
        </w:rPr>
        <w:t>ов</w:t>
      </w:r>
    </w:p>
    <w:p w14:paraId="0A000000">
      <w:pPr>
        <w:ind/>
        <w:jc w:val="both"/>
        <w:rPr>
          <w:sz w:val="28"/>
        </w:rPr>
      </w:pPr>
    </w:p>
    <w:p w14:paraId="0B000000">
      <w:pPr>
        <w:ind/>
        <w:jc w:val="both"/>
        <w:rPr>
          <w:sz w:val="28"/>
        </w:rPr>
      </w:pPr>
    </w:p>
    <w:p w14:paraId="0C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color w:val="000000"/>
          <w:sz w:val="28"/>
        </w:rPr>
        <w:t>В соответствии со статьей 172 Бюджетного кодекса Российской Федерации и в</w:t>
      </w:r>
      <w:r>
        <w:rPr>
          <w:color w:val="000000"/>
          <w:sz w:val="28"/>
        </w:rPr>
        <w:t xml:space="preserve"> целях разработки проекта бюджета муниципального образования «</w:t>
      </w:r>
      <w:r>
        <w:rPr>
          <w:color w:val="000000"/>
          <w:sz w:val="28"/>
        </w:rPr>
        <w:t>Дедовичи</w:t>
      </w:r>
      <w:r>
        <w:rPr>
          <w:color w:val="000000"/>
          <w:sz w:val="28"/>
        </w:rPr>
        <w:t xml:space="preserve">» на 2024 год и на плановый период 2025 и 2026 годов, </w:t>
      </w:r>
      <w:r>
        <w:rPr>
          <w:sz w:val="28"/>
        </w:rPr>
        <w:t xml:space="preserve"> Администрация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>ПОСТАНОВЛЯЕТ</w:t>
      </w:r>
      <w:r>
        <w:rPr>
          <w:sz w:val="28"/>
        </w:rPr>
        <w:t>:</w:t>
      </w:r>
    </w:p>
    <w:p w14:paraId="0D000000">
      <w:pPr>
        <w:pStyle w:val="Style_1"/>
        <w:tabs>
          <w:tab w:leader="none" w:pos="284" w:val="left"/>
        </w:tabs>
        <w:ind w:firstLine="709" w:left="0" w:right="-142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Утвердить </w:t>
      </w:r>
      <w:r>
        <w:rPr>
          <w:sz w:val="28"/>
        </w:rPr>
        <w:t xml:space="preserve">Основные направления бюджетной и налоговой политики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 на 2024 год и на плановый период 2025 и 2026 годов</w:t>
      </w:r>
      <w:r>
        <w:rPr>
          <w:sz w:val="28"/>
        </w:rPr>
        <w:t>, согласно приложению к настоящему п</w:t>
      </w:r>
      <w:r>
        <w:rPr>
          <w:sz w:val="28"/>
        </w:rPr>
        <w:t>о</w:t>
      </w:r>
      <w:r>
        <w:rPr>
          <w:sz w:val="28"/>
        </w:rPr>
        <w:t xml:space="preserve">становлению. </w:t>
      </w:r>
    </w:p>
    <w:p w14:paraId="0E000000">
      <w:pPr>
        <w:pStyle w:val="Style_1"/>
        <w:tabs>
          <w:tab w:leader="none" w:pos="284" w:val="left"/>
        </w:tabs>
        <w:ind w:firstLine="709" w:left="0" w:right="-142"/>
        <w:rPr>
          <w:sz w:val="28"/>
        </w:rPr>
      </w:pPr>
      <w:r>
        <w:rPr>
          <w:sz w:val="28"/>
        </w:rPr>
        <w:t xml:space="preserve">2. </w:t>
      </w:r>
      <w:r>
        <w:rPr>
          <w:color w:val="000000"/>
          <w:sz w:val="28"/>
        </w:rPr>
        <w:t xml:space="preserve">Администрации </w:t>
      </w:r>
      <w:r>
        <w:rPr>
          <w:color w:val="000000"/>
          <w:sz w:val="28"/>
        </w:rPr>
        <w:t xml:space="preserve">городского </w:t>
      </w:r>
      <w:r>
        <w:rPr>
          <w:color w:val="000000"/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color w:val="000000"/>
          <w:sz w:val="28"/>
        </w:rPr>
        <w:t>при разработке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екта бюджета на 2024 год и плановый период 2025 и 2026 годов обеспечить 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блюд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ние Основных направлений бюджетной и налоговой политики </w:t>
      </w:r>
      <w:r>
        <w:rPr>
          <w:color w:val="000000"/>
          <w:sz w:val="28"/>
        </w:rPr>
        <w:t xml:space="preserve">городского </w:t>
      </w:r>
      <w:r>
        <w:rPr>
          <w:color w:val="000000"/>
          <w:sz w:val="28"/>
        </w:rPr>
        <w:t xml:space="preserve">поселения </w:t>
      </w:r>
      <w:r>
        <w:rPr>
          <w:sz w:val="28"/>
        </w:rPr>
        <w:t>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color w:val="000000"/>
          <w:sz w:val="28"/>
        </w:rPr>
        <w:t>на 202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год и </w:t>
      </w:r>
      <w:r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плановый период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и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годов, утвержденных настоящим пост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новлением.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>Контроль за исполнением постановления оставляю за собой.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ab/>
      </w:r>
    </w:p>
    <w:p w14:paraId="11000000">
      <w:pPr>
        <w:ind/>
        <w:jc w:val="both"/>
        <w:outlineLvl w:val="0"/>
        <w:rPr>
          <w:sz w:val="28"/>
        </w:rPr>
      </w:pPr>
    </w:p>
    <w:p w14:paraId="12000000">
      <w:pPr>
        <w:ind/>
        <w:jc w:val="both"/>
        <w:outlineLvl w:val="0"/>
        <w:rPr>
          <w:sz w:val="28"/>
        </w:rPr>
      </w:pPr>
      <w:r>
        <w:rPr>
          <w:sz w:val="28"/>
        </w:rPr>
        <w:t xml:space="preserve">Врио. Главы </w:t>
      </w:r>
      <w:r>
        <w:rPr>
          <w:sz w:val="28"/>
        </w:rPr>
        <w:t xml:space="preserve">Администрации городского </w:t>
      </w:r>
    </w:p>
    <w:p w14:paraId="13000000">
      <w:pPr>
        <w:ind/>
        <w:jc w:val="both"/>
        <w:outlineLvl w:val="0"/>
        <w:rPr>
          <w:sz w:val="28"/>
        </w:rPr>
      </w:pP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 xml:space="preserve">                </w:t>
      </w:r>
      <w:r>
        <w:rPr>
          <w:sz w:val="28"/>
        </w:rPr>
        <w:t>И.В. Гаврилова</w:t>
      </w:r>
    </w:p>
    <w:p w14:paraId="14000000">
      <w:pPr>
        <w:ind/>
        <w:jc w:val="center"/>
        <w:outlineLvl w:val="0"/>
        <w:rPr>
          <w:sz w:val="28"/>
        </w:rPr>
      </w:pPr>
    </w:p>
    <w:p w14:paraId="15000000">
      <w:pPr>
        <w:ind/>
        <w:jc w:val="right"/>
        <w:rPr>
          <w:sz w:val="28"/>
        </w:rPr>
      </w:pPr>
    </w:p>
    <w:p w14:paraId="16000000">
      <w:pPr>
        <w:ind/>
        <w:jc w:val="right"/>
        <w:rPr>
          <w:sz w:val="28"/>
        </w:rPr>
      </w:pPr>
    </w:p>
    <w:p w14:paraId="17000000">
      <w:pPr>
        <w:ind/>
        <w:jc w:val="right"/>
        <w:rPr>
          <w:sz w:val="28"/>
        </w:rPr>
      </w:pPr>
    </w:p>
    <w:p w14:paraId="18000000">
      <w:pPr>
        <w:ind/>
        <w:jc w:val="right"/>
        <w:rPr>
          <w:sz w:val="28"/>
        </w:rPr>
      </w:pPr>
    </w:p>
    <w:p w14:paraId="19000000">
      <w:pPr>
        <w:ind/>
        <w:jc w:val="right"/>
        <w:rPr>
          <w:sz w:val="28"/>
        </w:rPr>
      </w:pPr>
    </w:p>
    <w:p w14:paraId="1A000000">
      <w:pPr>
        <w:ind/>
        <w:jc w:val="right"/>
        <w:rPr>
          <w:sz w:val="28"/>
        </w:rPr>
      </w:pPr>
    </w:p>
    <w:p w14:paraId="1B000000">
      <w:pPr>
        <w:ind/>
        <w:jc w:val="right"/>
        <w:rPr>
          <w:sz w:val="28"/>
        </w:rPr>
      </w:pPr>
    </w:p>
    <w:p w14:paraId="1C000000">
      <w:pPr>
        <w:ind/>
        <w:jc w:val="right"/>
        <w:rPr>
          <w:sz w:val="28"/>
        </w:rPr>
      </w:pPr>
    </w:p>
    <w:p w14:paraId="1D000000">
      <w:pPr>
        <w:ind/>
        <w:jc w:val="right"/>
        <w:rPr>
          <w:sz w:val="28"/>
        </w:rPr>
      </w:pPr>
    </w:p>
    <w:p w14:paraId="1E000000">
      <w:pPr>
        <w:ind/>
        <w:jc w:val="right"/>
        <w:rPr>
          <w:sz w:val="28"/>
        </w:rPr>
      </w:pPr>
    </w:p>
    <w:p w14:paraId="1F000000">
      <w:pPr>
        <w:ind/>
        <w:jc w:val="right"/>
        <w:rPr>
          <w:sz w:val="28"/>
        </w:rPr>
      </w:pPr>
    </w:p>
    <w:p w14:paraId="20000000">
      <w:pPr>
        <w:ind/>
        <w:jc w:val="right"/>
        <w:rPr>
          <w:sz w:val="28"/>
        </w:rPr>
      </w:pPr>
    </w:p>
    <w:p w14:paraId="21000000">
      <w:pPr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22000000">
      <w:pPr>
        <w:ind/>
        <w:jc w:val="right"/>
        <w:rPr>
          <w:sz w:val="28"/>
        </w:rPr>
      </w:pPr>
      <w:r>
        <w:rPr>
          <w:sz w:val="28"/>
        </w:rPr>
        <w:t>к постановлению Администрации</w:t>
      </w:r>
      <w:r>
        <w:rPr>
          <w:sz w:val="28"/>
        </w:rPr>
        <w:br/>
      </w:r>
      <w:r>
        <w:rPr>
          <w:sz w:val="28"/>
        </w:rPr>
        <w:t xml:space="preserve">городского </w:t>
      </w:r>
      <w:r>
        <w:rPr>
          <w:sz w:val="28"/>
        </w:rPr>
        <w:t>поселения</w:t>
      </w:r>
      <w:r>
        <w:rPr>
          <w:sz w:val="28"/>
        </w:rPr>
        <w:t xml:space="preserve"> «Дедовичи»</w:t>
      </w:r>
    </w:p>
    <w:p w14:paraId="23000000">
      <w:pPr>
        <w:ind/>
        <w:jc w:val="right"/>
        <w:rPr>
          <w:color w:val="FF0000"/>
          <w:sz w:val="28"/>
        </w:rPr>
      </w:pPr>
      <w:r>
        <w:rPr>
          <w:sz w:val="28"/>
        </w:rPr>
        <w:t>от 31</w:t>
      </w:r>
      <w:r>
        <w:rPr>
          <w:sz w:val="28"/>
        </w:rPr>
        <w:t xml:space="preserve">.10.2023 </w:t>
      </w:r>
      <w:r>
        <w:rPr>
          <w:sz w:val="28"/>
        </w:rPr>
        <w:t xml:space="preserve"> № </w:t>
      </w:r>
      <w:r>
        <w:rPr>
          <w:sz w:val="28"/>
        </w:rPr>
        <w:t>316</w:t>
      </w:r>
    </w:p>
    <w:p w14:paraId="24000000">
      <w:pPr>
        <w:pStyle w:val="Style_2"/>
        <w:widowControl w:val="1"/>
        <w:tabs>
          <w:tab w:leader="none" w:pos="6171" w:val="left"/>
        </w:tabs>
        <w:ind w:right="0"/>
        <w:jc w:val="right"/>
        <w:outlineLvl w:val="0"/>
        <w:rPr>
          <w:rFonts w:ascii="Times New Roman" w:hAnsi="Times New Roman"/>
          <w:b w:val="0"/>
          <w:sz w:val="28"/>
        </w:rPr>
      </w:pPr>
    </w:p>
    <w:p w14:paraId="25000000">
      <w:pPr>
        <w:pStyle w:val="Style_2"/>
        <w:widowControl w:val="1"/>
        <w:tabs>
          <w:tab w:leader="none" w:pos="6171" w:val="left"/>
        </w:tabs>
        <w:ind w:right="0"/>
        <w:jc w:val="right"/>
        <w:outlineLvl w:val="0"/>
        <w:rPr>
          <w:rFonts w:ascii="Times New Roman" w:hAnsi="Times New Roman"/>
          <w:b w:val="0"/>
          <w:sz w:val="28"/>
        </w:rPr>
      </w:pPr>
    </w:p>
    <w:p w14:paraId="26000000">
      <w:pPr>
        <w:pStyle w:val="Style_3"/>
        <w:spacing w:after="0" w:before="0"/>
        <w:ind/>
        <w:jc w:val="right"/>
        <w:rPr>
          <w:rStyle w:val="Style_4_ch"/>
        </w:rPr>
      </w:pPr>
    </w:p>
    <w:p w14:paraId="2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Основные направления бюджетной </w:t>
      </w:r>
      <w:r>
        <w:rPr>
          <w:b w:val="1"/>
          <w:sz w:val="28"/>
        </w:rPr>
        <w:t xml:space="preserve">и налоговой </w:t>
      </w:r>
      <w:r>
        <w:rPr>
          <w:b w:val="1"/>
          <w:sz w:val="28"/>
        </w:rPr>
        <w:t>политики</w:t>
      </w:r>
    </w:p>
    <w:p w14:paraId="28000000">
      <w:pPr>
        <w:ind w:firstLine="0" w:left="360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городского </w:t>
      </w:r>
      <w:r>
        <w:rPr>
          <w:b w:val="1"/>
          <w:sz w:val="28"/>
        </w:rPr>
        <w:t>поселения «</w:t>
      </w:r>
      <w:r>
        <w:rPr>
          <w:b w:val="1"/>
          <w:sz w:val="28"/>
        </w:rPr>
        <w:t>Дедовичи</w:t>
      </w:r>
      <w:r>
        <w:rPr>
          <w:b w:val="1"/>
          <w:sz w:val="28"/>
        </w:rPr>
        <w:t>»</w:t>
      </w:r>
    </w:p>
    <w:p w14:paraId="2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на </w:t>
      </w:r>
      <w:r>
        <w:rPr>
          <w:b w:val="1"/>
          <w:sz w:val="28"/>
        </w:rPr>
        <w:t xml:space="preserve">2024 </w:t>
      </w:r>
      <w:r>
        <w:rPr>
          <w:b w:val="1"/>
          <w:sz w:val="28"/>
        </w:rPr>
        <w:t>год и на плановый период</w:t>
      </w:r>
    </w:p>
    <w:p w14:paraId="2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2025 </w:t>
      </w:r>
      <w:r>
        <w:rPr>
          <w:b w:val="1"/>
          <w:sz w:val="28"/>
        </w:rPr>
        <w:t xml:space="preserve">и </w:t>
      </w:r>
      <w:r>
        <w:rPr>
          <w:b w:val="1"/>
          <w:sz w:val="28"/>
        </w:rPr>
        <w:t xml:space="preserve">2026 </w:t>
      </w:r>
      <w:r>
        <w:rPr>
          <w:b w:val="1"/>
          <w:sz w:val="28"/>
        </w:rPr>
        <w:t>годов</w:t>
      </w:r>
    </w:p>
    <w:p w14:paraId="2B000000">
      <w:pPr>
        <w:ind w:firstLine="585" w:left="0"/>
        <w:jc w:val="both"/>
        <w:rPr>
          <w:sz w:val="28"/>
        </w:rPr>
      </w:pPr>
    </w:p>
    <w:p w14:paraId="2C000000">
      <w:pPr>
        <w:ind w:firstLine="585" w:left="0"/>
        <w:jc w:val="both"/>
        <w:rPr>
          <w:sz w:val="28"/>
        </w:rPr>
      </w:pPr>
    </w:p>
    <w:p w14:paraId="2D000000">
      <w:pPr>
        <w:ind w:firstLine="585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1. </w:t>
      </w:r>
      <w:r>
        <w:rPr>
          <w:b w:val="1"/>
          <w:sz w:val="28"/>
        </w:rPr>
        <w:t>Основные направления бюджетной политики</w:t>
      </w:r>
    </w:p>
    <w:p w14:paraId="2E000000">
      <w:pPr>
        <w:ind w:firstLine="585" w:left="0"/>
        <w:jc w:val="center"/>
        <w:rPr>
          <w:b w:val="1"/>
          <w:sz w:val="28"/>
        </w:rPr>
      </w:pPr>
    </w:p>
    <w:p w14:paraId="2F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Основные направления бюджетной политики 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 на 2024 год и на плановый период 2025 и 2026 годов</w:t>
      </w:r>
      <w:r>
        <w:rPr>
          <w:sz w:val="28"/>
        </w:rPr>
        <w:t xml:space="preserve"> (далее</w:t>
      </w:r>
      <w:r>
        <w:rPr>
          <w:sz w:val="28"/>
        </w:rPr>
        <w:t xml:space="preserve"> </w:t>
      </w:r>
      <w:r>
        <w:rPr>
          <w:sz w:val="28"/>
        </w:rPr>
        <w:t>- о</w:t>
      </w:r>
      <w:r>
        <w:rPr>
          <w:sz w:val="28"/>
        </w:rPr>
        <w:t>с</w:t>
      </w:r>
      <w:r>
        <w:rPr>
          <w:sz w:val="28"/>
        </w:rPr>
        <w:t>новные направления бюджетной политики) определяют цели и приоритеты бюджетной политики администрации поселения в среднесрочной перспект</w:t>
      </w:r>
      <w:r>
        <w:rPr>
          <w:sz w:val="28"/>
        </w:rPr>
        <w:t>и</w:t>
      </w:r>
      <w:r>
        <w:rPr>
          <w:sz w:val="28"/>
        </w:rPr>
        <w:t>ве, разработаны в соответствии с требованиями Бюджетного кодекса Росси</w:t>
      </w:r>
      <w:r>
        <w:rPr>
          <w:sz w:val="28"/>
        </w:rPr>
        <w:t>й</w:t>
      </w:r>
      <w:r>
        <w:rPr>
          <w:sz w:val="28"/>
        </w:rPr>
        <w:t xml:space="preserve">ской Федерации. </w:t>
      </w:r>
    </w:p>
    <w:p w14:paraId="30000000">
      <w:pPr>
        <w:ind w:firstLine="585" w:left="0"/>
        <w:jc w:val="center"/>
        <w:rPr>
          <w:sz w:val="28"/>
        </w:rPr>
      </w:pPr>
    </w:p>
    <w:p w14:paraId="31000000">
      <w:pPr>
        <w:numPr>
          <w:ilvl w:val="1"/>
          <w:numId w:val="1"/>
        </w:numPr>
        <w:rPr>
          <w:sz w:val="28"/>
        </w:rPr>
      </w:pPr>
      <w:r>
        <w:rPr>
          <w:b w:val="1"/>
          <w:sz w:val="28"/>
        </w:rPr>
        <w:t>Основные цели и задачи бюджетной политики</w:t>
      </w:r>
    </w:p>
    <w:p w14:paraId="32000000">
      <w:pPr>
        <w:ind w:firstLine="0" w:left="1080"/>
        <w:jc w:val="center"/>
        <w:rPr>
          <w:sz w:val="28"/>
        </w:rPr>
      </w:pPr>
      <w:r>
        <w:rPr>
          <w:b w:val="1"/>
          <w:sz w:val="28"/>
        </w:rPr>
        <w:t xml:space="preserve">на </w:t>
      </w:r>
      <w:r>
        <w:rPr>
          <w:b w:val="1"/>
          <w:sz w:val="28"/>
        </w:rPr>
        <w:t xml:space="preserve">2024-2026 </w:t>
      </w:r>
      <w:r>
        <w:rPr>
          <w:b w:val="1"/>
          <w:sz w:val="28"/>
        </w:rPr>
        <w:t>годы</w:t>
      </w:r>
    </w:p>
    <w:p w14:paraId="33000000">
      <w:pPr>
        <w:ind w:firstLine="540" w:left="0"/>
        <w:jc w:val="both"/>
      </w:pPr>
    </w:p>
    <w:p w14:paraId="34000000">
      <w:pPr>
        <w:ind w:firstLine="567" w:left="0"/>
        <w:jc w:val="both"/>
        <w:rPr>
          <w:sz w:val="28"/>
        </w:rPr>
      </w:pPr>
      <w:r>
        <w:rPr>
          <w:sz w:val="28"/>
        </w:rPr>
        <w:t>Целью основных направлений бюджетной политики является описание основных подходов к формирова</w:t>
      </w:r>
      <w:r>
        <w:rPr>
          <w:sz w:val="28"/>
        </w:rPr>
        <w:t xml:space="preserve">нию проекта бюджета  </w:t>
      </w:r>
      <w:r>
        <w:rPr>
          <w:sz w:val="28"/>
        </w:rPr>
        <w:t>муниципального о</w:t>
      </w:r>
      <w:r>
        <w:rPr>
          <w:sz w:val="28"/>
        </w:rPr>
        <w:t>б</w:t>
      </w:r>
      <w:r>
        <w:rPr>
          <w:sz w:val="28"/>
        </w:rPr>
        <w:t>разования 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 xml:space="preserve">на </w:t>
      </w:r>
      <w:r>
        <w:rPr>
          <w:sz w:val="28"/>
        </w:rPr>
        <w:t xml:space="preserve">2024-2026  </w:t>
      </w:r>
      <w:r>
        <w:rPr>
          <w:sz w:val="28"/>
        </w:rPr>
        <w:t>годы, а также обеспечение прозрачн</w:t>
      </w:r>
      <w:r>
        <w:rPr>
          <w:sz w:val="28"/>
        </w:rPr>
        <w:t>о</w:t>
      </w:r>
      <w:r>
        <w:rPr>
          <w:sz w:val="28"/>
        </w:rPr>
        <w:t>сти и о</w:t>
      </w:r>
      <w:r>
        <w:rPr>
          <w:sz w:val="28"/>
        </w:rPr>
        <w:t>т</w:t>
      </w:r>
      <w:r>
        <w:rPr>
          <w:sz w:val="28"/>
        </w:rPr>
        <w:t xml:space="preserve">крытости бюджетного планирования.        </w:t>
      </w:r>
    </w:p>
    <w:p w14:paraId="35000000">
      <w:pPr>
        <w:ind w:firstLine="567" w:left="0"/>
        <w:jc w:val="both"/>
        <w:rPr>
          <w:sz w:val="28"/>
        </w:rPr>
      </w:pPr>
      <w:r>
        <w:rPr>
          <w:sz w:val="28"/>
        </w:rPr>
        <w:t>В рамках бюджетной политики необходимо добиться с</w:t>
      </w:r>
      <w:r>
        <w:rPr>
          <w:sz w:val="28"/>
        </w:rPr>
        <w:t>балансированн</w:t>
      </w:r>
      <w:r>
        <w:rPr>
          <w:sz w:val="28"/>
        </w:rPr>
        <w:t>о</w:t>
      </w:r>
      <w:r>
        <w:rPr>
          <w:sz w:val="28"/>
        </w:rPr>
        <w:t xml:space="preserve">сти бюджета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>.</w:t>
      </w:r>
      <w:r>
        <w:rPr>
          <w:color w:val="800000"/>
          <w:sz w:val="28"/>
        </w:rPr>
        <w:t xml:space="preserve"> </w:t>
      </w:r>
      <w:r>
        <w:rPr>
          <w:sz w:val="28"/>
        </w:rPr>
        <w:t xml:space="preserve">С этой целью требуется обеспечить рост доходов и </w:t>
      </w:r>
      <w:r>
        <w:rPr>
          <w:sz w:val="28"/>
        </w:rPr>
        <w:t xml:space="preserve">обеспечить </w:t>
      </w:r>
      <w:r>
        <w:rPr>
          <w:sz w:val="28"/>
        </w:rPr>
        <w:t>повышение эффективности бюдже</w:t>
      </w:r>
      <w:r>
        <w:rPr>
          <w:sz w:val="28"/>
        </w:rPr>
        <w:t>т</w:t>
      </w:r>
      <w:r>
        <w:rPr>
          <w:sz w:val="28"/>
        </w:rPr>
        <w:t>ных расх</w:t>
      </w:r>
      <w:r>
        <w:rPr>
          <w:sz w:val="28"/>
        </w:rPr>
        <w:t>о</w:t>
      </w:r>
      <w:r>
        <w:rPr>
          <w:sz w:val="28"/>
        </w:rPr>
        <w:t xml:space="preserve">дов муниципального образования. </w:t>
      </w:r>
    </w:p>
    <w:p w14:paraId="36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Работа по увеличению бюджетных доходов, обеспеченному реальным ростом экономики и стабильностью налоговых условий, будет способствовать решению задач в большем объеме </w:t>
      </w:r>
      <w:r>
        <w:rPr>
          <w:sz w:val="28"/>
        </w:rPr>
        <w:t xml:space="preserve">в рамках полномочий 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>. При этом следует реально оценивать возможно</w:t>
      </w:r>
      <w:r>
        <w:rPr>
          <w:sz w:val="28"/>
        </w:rPr>
        <w:t xml:space="preserve">сти бюджета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>по принятию новых расходных обязательств (исходя из доходов бюджета) и, соответственно, максимально четко планиров</w:t>
      </w:r>
      <w:r>
        <w:rPr>
          <w:sz w:val="28"/>
        </w:rPr>
        <w:t xml:space="preserve">ать расходы бюджета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для концентрации бюджетных ресурсов на приоритетных направлениях.</w:t>
      </w:r>
    </w:p>
    <w:p w14:paraId="37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Повышение эффективности бюджетных расходов позволит оптимизировать бюджетные ассигнования с направлением высвобождающихся ресурсов на решение  вопросов местного значения. </w:t>
      </w:r>
    </w:p>
    <w:p w14:paraId="38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Основными задачами по повышению эффективности бюджетных расходов остаются обеспечение результативности имеющихся инструментов программно-целевого управления, создание условий для улучшения качества предоставления муниципальных услуг. </w:t>
      </w:r>
    </w:p>
    <w:p w14:paraId="39000000">
      <w:pPr>
        <w:ind/>
        <w:jc w:val="both"/>
        <w:rPr>
          <w:b w:val="1"/>
          <w:sz w:val="28"/>
        </w:rPr>
      </w:pPr>
    </w:p>
    <w:p w14:paraId="3A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1. 2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Среднесрочные приоритеты муниципальных программ и направл</w:t>
      </w:r>
      <w:r>
        <w:rPr>
          <w:b w:val="1"/>
          <w:sz w:val="28"/>
        </w:rPr>
        <w:t>ений деятельности</w:t>
      </w:r>
    </w:p>
    <w:p w14:paraId="3B000000">
      <w:pPr>
        <w:ind w:firstLine="709" w:left="0"/>
        <w:jc w:val="center"/>
        <w:rPr>
          <w:color w:val="800000"/>
          <w:sz w:val="28"/>
        </w:rPr>
      </w:pPr>
    </w:p>
    <w:p w14:paraId="3C000000">
      <w:pPr>
        <w:ind w:firstLine="567" w:left="0"/>
        <w:jc w:val="both"/>
        <w:rPr>
          <w:rFonts w:ascii="Arial" w:hAnsi="Arial"/>
          <w:b w:val="1"/>
          <w:color w:val="800000"/>
          <w:sz w:val="28"/>
        </w:rPr>
      </w:pPr>
      <w:r>
        <w:rPr>
          <w:sz w:val="28"/>
        </w:rPr>
        <w:t xml:space="preserve">При формировании расходной части бюджета 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 xml:space="preserve">» </w:t>
      </w:r>
      <w:r>
        <w:rPr>
          <w:sz w:val="28"/>
        </w:rPr>
        <w:t xml:space="preserve">на </w:t>
      </w:r>
      <w:r>
        <w:rPr>
          <w:sz w:val="28"/>
        </w:rPr>
        <w:t xml:space="preserve">2024-2026  </w:t>
      </w:r>
      <w:r>
        <w:rPr>
          <w:sz w:val="28"/>
        </w:rPr>
        <w:t xml:space="preserve">годы предлагается особое внимание уделить следующим ключевым вопросам: </w:t>
      </w:r>
    </w:p>
    <w:p w14:paraId="3D000000">
      <w:pPr>
        <w:ind w:firstLine="525" w:left="0"/>
        <w:jc w:val="both"/>
        <w:rPr>
          <w:b w:val="1"/>
          <w:color w:val="800000"/>
          <w:sz w:val="28"/>
        </w:rPr>
      </w:pPr>
      <w:r>
        <w:rPr>
          <w:b w:val="1"/>
          <w:sz w:val="28"/>
        </w:rPr>
        <w:t xml:space="preserve">В сфере </w:t>
      </w:r>
      <w:r>
        <w:rPr>
          <w:b w:val="1"/>
          <w:sz w:val="28"/>
        </w:rPr>
        <w:t>благоустройства</w:t>
      </w:r>
    </w:p>
    <w:p w14:paraId="3E000000">
      <w:pPr>
        <w:tabs>
          <w:tab w:leader="none" w:pos="525" w:val="left"/>
        </w:tabs>
        <w:ind w:firstLine="567" w:left="0"/>
        <w:jc w:val="both"/>
        <w:rPr>
          <w:rFonts w:ascii="Arial" w:hAnsi="Arial"/>
          <w:color w:val="800000"/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2024-2026  </w:t>
      </w:r>
      <w:r>
        <w:rPr>
          <w:sz w:val="28"/>
        </w:rPr>
        <w:t xml:space="preserve">году необходимо провести мероприятия, направленные на  энергосбережение и повышение энергетической эффективности использования электрической энергии при эксплуатации объектов </w:t>
      </w:r>
      <w:r>
        <w:rPr>
          <w:sz w:val="28"/>
        </w:rPr>
        <w:t>наружного освещения  поселения</w:t>
      </w:r>
      <w:r>
        <w:rPr>
          <w:sz w:val="28"/>
        </w:rPr>
        <w:t>, оснастить линии уличного освещения приборами учета, а также обеспечить надлежащую эксплуатацию этих приборов, их сохранность и своевременную замену.</w:t>
      </w:r>
    </w:p>
    <w:p w14:paraId="3F000000">
      <w:pPr>
        <w:ind w:firstLine="567" w:left="0"/>
        <w:jc w:val="both"/>
        <w:rPr>
          <w:b w:val="1"/>
          <w:sz w:val="28"/>
        </w:rPr>
      </w:pPr>
      <w:r>
        <w:rPr>
          <w:sz w:val="28"/>
        </w:rPr>
        <w:t xml:space="preserve">Продолжится реализация муниципальных  программ </w:t>
      </w:r>
      <w:r>
        <w:rPr>
          <w:sz w:val="28"/>
        </w:rPr>
        <w:t>поселения</w:t>
      </w:r>
      <w:r>
        <w:rPr>
          <w:sz w:val="28"/>
        </w:rPr>
        <w:t xml:space="preserve"> в сфере </w:t>
      </w:r>
      <w:r>
        <w:rPr>
          <w:sz w:val="28"/>
        </w:rPr>
        <w:t>благоустройства</w:t>
      </w:r>
      <w:r>
        <w:rPr>
          <w:sz w:val="28"/>
        </w:rPr>
        <w:t>.</w:t>
      </w:r>
    </w:p>
    <w:p w14:paraId="40000000">
      <w:pPr>
        <w:ind/>
        <w:jc w:val="both"/>
        <w:rPr>
          <w:b w:val="1"/>
          <w:sz w:val="28"/>
        </w:rPr>
      </w:pPr>
      <w:r>
        <w:rPr>
          <w:b w:val="1"/>
          <w:color w:val="800000"/>
          <w:sz w:val="28"/>
        </w:rPr>
        <w:t xml:space="preserve">   </w:t>
      </w:r>
      <w:r>
        <w:rPr>
          <w:b w:val="1"/>
          <w:sz w:val="28"/>
        </w:rPr>
        <w:t xml:space="preserve">    </w:t>
      </w:r>
    </w:p>
    <w:p w14:paraId="41000000">
      <w:pPr>
        <w:ind w:firstLine="567" w:left="0"/>
        <w:jc w:val="both"/>
        <w:rPr>
          <w:sz w:val="28"/>
        </w:rPr>
      </w:pPr>
      <w:r>
        <w:rPr>
          <w:b w:val="1"/>
          <w:sz w:val="28"/>
        </w:rPr>
        <w:t>В сфере муниципального управления</w:t>
      </w:r>
    </w:p>
    <w:p w14:paraId="42000000">
      <w:pPr>
        <w:ind w:firstLine="567" w:left="0"/>
        <w:jc w:val="both"/>
        <w:rPr>
          <w:sz w:val="28"/>
        </w:rPr>
      </w:pPr>
      <w:r>
        <w:rPr>
          <w:sz w:val="28"/>
        </w:rPr>
        <w:t>Следует обеспечить неукоснительное выполнение требований Бюдже</w:t>
      </w:r>
      <w:r>
        <w:rPr>
          <w:sz w:val="28"/>
        </w:rPr>
        <w:t>т</w:t>
      </w:r>
      <w:r>
        <w:rPr>
          <w:sz w:val="28"/>
        </w:rPr>
        <w:t xml:space="preserve">ного кодекса Российской Федерации, касающихся ограничения расходов на органы местного самоуправления. </w:t>
      </w:r>
    </w:p>
    <w:p w14:paraId="43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Планирование бюджетных ассигнований на </w:t>
      </w:r>
      <w:r>
        <w:rPr>
          <w:sz w:val="28"/>
        </w:rPr>
        <w:t>2024-</w:t>
      </w:r>
      <w:r>
        <w:rPr>
          <w:sz w:val="28"/>
        </w:rPr>
        <w:t xml:space="preserve">2026  </w:t>
      </w:r>
      <w:r>
        <w:rPr>
          <w:sz w:val="28"/>
        </w:rPr>
        <w:t>годы по обесп</w:t>
      </w:r>
      <w:r>
        <w:rPr>
          <w:sz w:val="28"/>
        </w:rPr>
        <w:t>е</w:t>
      </w:r>
      <w:r>
        <w:rPr>
          <w:sz w:val="28"/>
        </w:rPr>
        <w:t xml:space="preserve">чению деятельности органов местного самоуправления </w:t>
      </w:r>
      <w:r>
        <w:rPr>
          <w:sz w:val="28"/>
        </w:rPr>
        <w:t>будет осуществляться с учетом проведенных мероприятий по оптимизации численности муниц</w:t>
      </w:r>
      <w:r>
        <w:rPr>
          <w:sz w:val="28"/>
        </w:rPr>
        <w:t>и</w:t>
      </w:r>
      <w:r>
        <w:rPr>
          <w:sz w:val="28"/>
        </w:rPr>
        <w:t>пальных служащих.</w:t>
      </w:r>
    </w:p>
    <w:p w14:paraId="44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В связи с этим в </w:t>
      </w:r>
      <w:r>
        <w:rPr>
          <w:sz w:val="28"/>
        </w:rPr>
        <w:t xml:space="preserve">2024 </w:t>
      </w:r>
      <w:r>
        <w:rPr>
          <w:sz w:val="28"/>
        </w:rPr>
        <w:t>году и плановом периоде предлагается:</w:t>
      </w:r>
    </w:p>
    <w:p w14:paraId="45000000">
      <w:pPr>
        <w:ind w:firstLine="567" w:left="0"/>
        <w:jc w:val="both"/>
        <w:rPr>
          <w:sz w:val="28"/>
        </w:rPr>
      </w:pPr>
      <w:r>
        <w:rPr>
          <w:sz w:val="28"/>
        </w:rPr>
        <w:t>-не допускать увеличения численности органов местного самоуправл</w:t>
      </w:r>
      <w:r>
        <w:rPr>
          <w:sz w:val="28"/>
        </w:rPr>
        <w:t>е</w:t>
      </w:r>
      <w:r>
        <w:rPr>
          <w:sz w:val="28"/>
        </w:rPr>
        <w:t xml:space="preserve">ния </w:t>
      </w:r>
      <w:r>
        <w:rPr>
          <w:sz w:val="28"/>
        </w:rPr>
        <w:t>поселения</w:t>
      </w:r>
      <w:r>
        <w:rPr>
          <w:sz w:val="28"/>
        </w:rPr>
        <w:t>,</w:t>
      </w:r>
    </w:p>
    <w:p w14:paraId="46000000">
      <w:pPr>
        <w:ind w:firstLine="567" w:left="0"/>
        <w:jc w:val="both"/>
        <w:rPr>
          <w:sz w:val="28"/>
        </w:rPr>
      </w:pPr>
      <w:r>
        <w:rPr>
          <w:sz w:val="28"/>
        </w:rPr>
        <w:t>-все изменения структуры и штатов этих органов следует производить в пределах существующей численности.</w:t>
      </w:r>
    </w:p>
    <w:p w14:paraId="47000000">
      <w:pPr>
        <w:ind w:firstLine="567" w:left="0"/>
        <w:jc w:val="both"/>
        <w:rPr>
          <w:sz w:val="28"/>
        </w:rPr>
      </w:pPr>
      <w:r>
        <w:rPr>
          <w:sz w:val="28"/>
        </w:rPr>
        <w:t>Бюджетная политика в сфере муниципального управления будет направлена на:</w:t>
      </w:r>
    </w:p>
    <w:p w14:paraId="48000000">
      <w:pPr>
        <w:ind w:firstLine="567" w:left="0"/>
        <w:jc w:val="both"/>
        <w:rPr>
          <w:sz w:val="28"/>
        </w:rPr>
      </w:pPr>
      <w:r>
        <w:rPr>
          <w:sz w:val="28"/>
        </w:rPr>
        <w:t>- оптимизацию расходов на содержание органов местного самоуправл</w:t>
      </w:r>
      <w:r>
        <w:rPr>
          <w:sz w:val="28"/>
        </w:rPr>
        <w:t>е</w:t>
      </w:r>
      <w:r>
        <w:rPr>
          <w:sz w:val="28"/>
        </w:rPr>
        <w:t>ния;</w:t>
      </w:r>
    </w:p>
    <w:p w14:paraId="49000000">
      <w:pPr>
        <w:ind w:firstLine="567" w:left="0"/>
        <w:jc w:val="both"/>
        <w:rPr>
          <w:sz w:val="28"/>
        </w:rPr>
      </w:pPr>
      <w:r>
        <w:rPr>
          <w:sz w:val="28"/>
        </w:rPr>
        <w:t>- соблюдение установленных нормативов формирования расходов на обеспечение деятельности органов МСУ;</w:t>
      </w:r>
    </w:p>
    <w:p w14:paraId="4A000000">
      <w:pPr>
        <w:ind w:firstLine="567" w:left="0"/>
        <w:jc w:val="both"/>
        <w:rPr>
          <w:sz w:val="28"/>
        </w:rPr>
      </w:pPr>
      <w:r>
        <w:rPr>
          <w:sz w:val="28"/>
        </w:rPr>
        <w:t>- повышение эффективности деятельности органов исполнительной вл</w:t>
      </w:r>
      <w:r>
        <w:rPr>
          <w:sz w:val="28"/>
        </w:rPr>
        <w:t>а</w:t>
      </w:r>
      <w:r>
        <w:rPr>
          <w:sz w:val="28"/>
        </w:rPr>
        <w:t>сти за счет внедрения автоматизированных информационных систем;</w:t>
      </w:r>
    </w:p>
    <w:p w14:paraId="4B000000">
      <w:pPr>
        <w:ind w:firstLine="567" w:left="0"/>
        <w:jc w:val="both"/>
        <w:rPr>
          <w:sz w:val="28"/>
        </w:rPr>
      </w:pPr>
      <w:r>
        <w:rPr>
          <w:sz w:val="28"/>
        </w:rPr>
        <w:t>- повышение качества и оперативности предоставления муниципальных услуг гражданам и организациям.</w:t>
      </w:r>
    </w:p>
    <w:p w14:paraId="4C000000">
      <w:pPr>
        <w:ind w:firstLine="567" w:left="0"/>
        <w:jc w:val="both"/>
        <w:rPr>
          <w:sz w:val="28"/>
        </w:rPr>
      </w:pPr>
    </w:p>
    <w:p w14:paraId="4D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1. 3</w:t>
      </w:r>
      <w:r>
        <w:rPr>
          <w:b w:val="1"/>
          <w:sz w:val="28"/>
        </w:rPr>
        <w:t>. Политика в области межбюджетных отношений.</w:t>
      </w:r>
    </w:p>
    <w:p w14:paraId="4E000000">
      <w:pPr>
        <w:ind w:firstLine="709" w:left="0"/>
        <w:jc w:val="center"/>
        <w:rPr>
          <w:b w:val="1"/>
          <w:color w:val="800000"/>
          <w:sz w:val="28"/>
        </w:rPr>
      </w:pPr>
    </w:p>
    <w:p w14:paraId="4F000000">
      <w:pPr>
        <w:ind w:firstLine="567" w:left="0"/>
        <w:jc w:val="both"/>
        <w:rPr>
          <w:rFonts w:ascii="Arial" w:hAnsi="Arial"/>
          <w:sz w:val="28"/>
        </w:rPr>
      </w:pPr>
      <w:r>
        <w:rPr>
          <w:sz w:val="28"/>
        </w:rPr>
        <w:t>В сфере межбюджетных отношений предусматривается реализация комплекса мер, направленных на повышение эффективности межбюджетных трансфертов.</w:t>
      </w:r>
    </w:p>
    <w:p w14:paraId="50000000">
      <w:pPr>
        <w:ind w:firstLine="567" w:left="0"/>
        <w:jc w:val="both"/>
        <w:rPr>
          <w:b w:val="1"/>
          <w:i w:val="1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2024 </w:t>
      </w:r>
      <w:r>
        <w:rPr>
          <w:sz w:val="28"/>
        </w:rPr>
        <w:t xml:space="preserve">год и на плановый период </w:t>
      </w:r>
      <w:r>
        <w:rPr>
          <w:sz w:val="28"/>
        </w:rPr>
        <w:t>2025</w:t>
      </w:r>
      <w:r>
        <w:rPr>
          <w:sz w:val="28"/>
        </w:rPr>
        <w:t>-</w:t>
      </w:r>
      <w:r>
        <w:rPr>
          <w:sz w:val="28"/>
        </w:rPr>
        <w:t xml:space="preserve">2026 </w:t>
      </w:r>
      <w:r>
        <w:rPr>
          <w:sz w:val="28"/>
        </w:rPr>
        <w:t>годов  в соответствии с з</w:t>
      </w:r>
      <w:r>
        <w:rPr>
          <w:sz w:val="28"/>
        </w:rPr>
        <w:t>а</w:t>
      </w:r>
      <w:r>
        <w:rPr>
          <w:sz w:val="28"/>
        </w:rPr>
        <w:t xml:space="preserve">ключенными соглашениями будет производиться передача исполнения ряда вопросов местного значения  от муниципального образования «Дедовичский район» Администрации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за счет средств межбюджетных трансфертов.</w:t>
      </w:r>
    </w:p>
    <w:p w14:paraId="51000000">
      <w:pPr>
        <w:spacing w:line="320" w:lineRule="exact"/>
        <w:ind w:firstLine="567" w:left="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В целях дальнейшего совершенствования организации межбюджетных отношений предусматривается решение следующих задач:</w:t>
      </w:r>
    </w:p>
    <w:p w14:paraId="52000000">
      <w:pPr>
        <w:spacing w:line="320" w:lineRule="exact"/>
        <w:ind w:firstLine="567" w:left="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- создание стимулов по наращиванию доходной базы бюджетов посел</w:t>
      </w:r>
      <w:r>
        <w:rPr>
          <w:color w:val="000000"/>
          <w:spacing w:val="-1"/>
          <w:sz w:val="28"/>
        </w:rPr>
        <w:t>е</w:t>
      </w:r>
      <w:r>
        <w:rPr>
          <w:color w:val="000000"/>
          <w:spacing w:val="-1"/>
          <w:sz w:val="28"/>
        </w:rPr>
        <w:t>ний;</w:t>
      </w:r>
    </w:p>
    <w:p w14:paraId="53000000">
      <w:pPr>
        <w:spacing w:line="320" w:lineRule="exact"/>
        <w:ind w:firstLine="567" w:left="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- совершенствование системы разграничения расходных обязательств между районным бюджетом и бюджетами поселений.</w:t>
      </w:r>
    </w:p>
    <w:p w14:paraId="54000000">
      <w:pPr>
        <w:pStyle w:val="Style_5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будет уделяться работе, направленной на повышение финансовой дисциплины органов местного самоуправления и улучшение финансовых показателей местных бюджетов</w:t>
      </w:r>
      <w:r>
        <w:rPr>
          <w:rFonts w:ascii="Times New Roman" w:hAnsi="Times New Roman"/>
          <w:sz w:val="28"/>
        </w:rPr>
        <w:t>.</w:t>
      </w:r>
    </w:p>
    <w:p w14:paraId="55000000">
      <w:pPr>
        <w:pStyle w:val="Style_6"/>
        <w:ind w:firstLine="567" w:left="0"/>
        <w:jc w:val="both"/>
        <w:rPr>
          <w:sz w:val="28"/>
        </w:rPr>
      </w:pPr>
      <w:r>
        <w:rPr>
          <w:sz w:val="28"/>
        </w:rPr>
        <w:t>Реализация вышеизложенных мер будет способствовать повышению эффективности системы межбюджетных отношений, обеспечению сбаланс</w:t>
      </w:r>
      <w:r>
        <w:rPr>
          <w:sz w:val="28"/>
        </w:rPr>
        <w:t>и</w:t>
      </w:r>
      <w:r>
        <w:rPr>
          <w:sz w:val="28"/>
        </w:rPr>
        <w:t xml:space="preserve">рованности местных бюджетов, </w:t>
      </w:r>
      <w:r>
        <w:rPr>
          <w:sz w:val="28"/>
        </w:rPr>
        <w:t>внедрению передовых технологий в практ</w:t>
      </w:r>
      <w:r>
        <w:rPr>
          <w:sz w:val="28"/>
        </w:rPr>
        <w:t>и</w:t>
      </w:r>
      <w:r>
        <w:rPr>
          <w:sz w:val="28"/>
        </w:rPr>
        <w:t>ку управления бюджетным процессом, обеспечивающих эффективное и к</w:t>
      </w:r>
      <w:r>
        <w:rPr>
          <w:sz w:val="28"/>
        </w:rPr>
        <w:t>а</w:t>
      </w:r>
      <w:r>
        <w:rPr>
          <w:sz w:val="28"/>
        </w:rPr>
        <w:t>чественное предоставление бюджетных услуг и повышение эффективности бю</w:t>
      </w:r>
      <w:r>
        <w:rPr>
          <w:sz w:val="28"/>
        </w:rPr>
        <w:t>д</w:t>
      </w:r>
      <w:r>
        <w:rPr>
          <w:sz w:val="28"/>
        </w:rPr>
        <w:t>жетных расходов</w:t>
      </w:r>
      <w:r>
        <w:rPr>
          <w:sz w:val="28"/>
        </w:rPr>
        <w:t>.</w:t>
      </w:r>
    </w:p>
    <w:p w14:paraId="56000000">
      <w:pPr>
        <w:pStyle w:val="Style_6"/>
        <w:ind/>
        <w:jc w:val="both"/>
        <w:rPr>
          <w:sz w:val="28"/>
        </w:rPr>
      </w:pPr>
    </w:p>
    <w:p w14:paraId="57000000">
      <w:pPr>
        <w:ind w:firstLine="0" w:left="360"/>
        <w:jc w:val="center"/>
        <w:rPr>
          <w:b w:val="1"/>
          <w:sz w:val="28"/>
        </w:rPr>
      </w:pPr>
      <w:r>
        <w:rPr>
          <w:b w:val="1"/>
          <w:sz w:val="28"/>
        </w:rPr>
        <w:t xml:space="preserve">1. 4. </w:t>
      </w:r>
      <w:r>
        <w:rPr>
          <w:b w:val="1"/>
          <w:sz w:val="28"/>
        </w:rPr>
        <w:t>Основные направления долговой политики</w:t>
      </w:r>
    </w:p>
    <w:p w14:paraId="58000000">
      <w:pPr>
        <w:ind/>
        <w:jc w:val="center"/>
        <w:rPr>
          <w:color w:val="800000"/>
          <w:sz w:val="28"/>
        </w:rPr>
      </w:pPr>
      <w:r>
        <w:rPr>
          <w:b w:val="1"/>
          <w:sz w:val="28"/>
        </w:rPr>
        <w:t xml:space="preserve">городского </w:t>
      </w:r>
      <w:r>
        <w:rPr>
          <w:b w:val="1"/>
          <w:sz w:val="28"/>
        </w:rPr>
        <w:t>поселения «</w:t>
      </w:r>
      <w:r>
        <w:rPr>
          <w:b w:val="1"/>
          <w:sz w:val="28"/>
        </w:rPr>
        <w:t>Дедовичи</w:t>
      </w:r>
      <w:r>
        <w:rPr>
          <w:b w:val="1"/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на 2024 год и на плановый период 2025 и 2026 годов</w:t>
      </w:r>
    </w:p>
    <w:p w14:paraId="59000000">
      <w:pPr>
        <w:ind w:firstLine="540" w:left="0"/>
        <w:jc w:val="both"/>
        <w:rPr>
          <w:color w:val="800000"/>
          <w:sz w:val="28"/>
        </w:rPr>
      </w:pPr>
    </w:p>
    <w:p w14:paraId="5A000000">
      <w:pPr>
        <w:ind w:firstLine="567" w:left="0"/>
        <w:jc w:val="both"/>
        <w:rPr>
          <w:sz w:val="28"/>
        </w:rPr>
      </w:pPr>
      <w:r>
        <w:rPr>
          <w:sz w:val="28"/>
        </w:rPr>
        <w:t>В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году и предыдущие годы муниципальные заимствования посел</w:t>
      </w:r>
      <w:r>
        <w:rPr>
          <w:sz w:val="28"/>
        </w:rPr>
        <w:t>е</w:t>
      </w:r>
      <w:r>
        <w:rPr>
          <w:sz w:val="28"/>
        </w:rPr>
        <w:t xml:space="preserve">нием не осуществлялись. В </w:t>
      </w:r>
      <w:r>
        <w:rPr>
          <w:sz w:val="28"/>
        </w:rPr>
        <w:t xml:space="preserve">2024-2026  </w:t>
      </w:r>
      <w:r>
        <w:rPr>
          <w:sz w:val="28"/>
        </w:rPr>
        <w:t>годах будет продолжено проведение взв</w:t>
      </w:r>
      <w:r>
        <w:rPr>
          <w:sz w:val="28"/>
        </w:rPr>
        <w:t>е</w:t>
      </w:r>
      <w:r>
        <w:rPr>
          <w:sz w:val="28"/>
        </w:rPr>
        <w:t xml:space="preserve">шенной политики в области управления муниципальным долгом. </w:t>
      </w:r>
    </w:p>
    <w:p w14:paraId="5B000000">
      <w:pPr>
        <w:ind w:firstLine="567" w:left="0"/>
        <w:jc w:val="both"/>
        <w:rPr>
          <w:b w:val="1"/>
          <w:color w:val="800000"/>
        </w:rPr>
      </w:pPr>
      <w:r>
        <w:rPr>
          <w:sz w:val="28"/>
        </w:rPr>
        <w:t xml:space="preserve">В случае необходимости в </w:t>
      </w:r>
      <w:r>
        <w:rPr>
          <w:sz w:val="28"/>
        </w:rPr>
        <w:t xml:space="preserve">2024-2026  </w:t>
      </w:r>
      <w:r>
        <w:rPr>
          <w:sz w:val="28"/>
        </w:rPr>
        <w:t>годах привлечения муниципал</w:t>
      </w:r>
      <w:r>
        <w:rPr>
          <w:sz w:val="28"/>
        </w:rPr>
        <w:t>ь</w:t>
      </w:r>
      <w:r>
        <w:rPr>
          <w:sz w:val="28"/>
        </w:rPr>
        <w:t>ных заимствований обязательным условием будет являться соблюдение установленных Бюджетным кодексом Российской Федерации предельных размеров муниципального долга и расходов на его обслуживание,  определ</w:t>
      </w:r>
      <w:r>
        <w:rPr>
          <w:sz w:val="28"/>
        </w:rPr>
        <w:t>е</w:t>
      </w:r>
      <w:r>
        <w:rPr>
          <w:sz w:val="28"/>
        </w:rPr>
        <w:t>ние потенциала долговой емкости бюджета, а также экономически безопа</w:t>
      </w:r>
      <w:r>
        <w:rPr>
          <w:sz w:val="28"/>
        </w:rPr>
        <w:t>с</w:t>
      </w:r>
      <w:r>
        <w:rPr>
          <w:sz w:val="28"/>
        </w:rPr>
        <w:t>ного уровня м</w:t>
      </w:r>
      <w:r>
        <w:rPr>
          <w:sz w:val="28"/>
        </w:rPr>
        <w:t>у</w:t>
      </w:r>
      <w:r>
        <w:rPr>
          <w:sz w:val="28"/>
        </w:rPr>
        <w:t>ниципального долга и муниципальных заимствований</w:t>
      </w:r>
      <w:r>
        <w:t>.</w:t>
      </w:r>
    </w:p>
    <w:p w14:paraId="5C000000">
      <w:pPr>
        <w:rPr>
          <w:b w:val="1"/>
          <w:sz w:val="28"/>
        </w:rPr>
      </w:pPr>
    </w:p>
    <w:p w14:paraId="5D000000">
      <w:pPr>
        <w:tabs>
          <w:tab w:leader="none" w:pos="292" w:val="left"/>
        </w:tabs>
        <w:ind w:firstLine="709" w:left="0"/>
        <w:jc w:val="center"/>
        <w:rPr>
          <w:b w:val="1"/>
          <w:color w:val="000000"/>
          <w:spacing w:val="2"/>
          <w:sz w:val="28"/>
        </w:rPr>
      </w:pPr>
      <w:r>
        <w:rPr>
          <w:b w:val="1"/>
          <w:color w:val="000000"/>
          <w:spacing w:val="-13"/>
          <w:sz w:val="28"/>
        </w:rPr>
        <w:t>1. 5.</w:t>
      </w:r>
      <w:r>
        <w:rPr>
          <w:b w:val="1"/>
          <w:color w:val="000000"/>
          <w:sz w:val="28"/>
        </w:rPr>
        <w:tab/>
      </w:r>
      <w:r>
        <w:rPr>
          <w:b w:val="1"/>
          <w:color w:val="000000"/>
          <w:spacing w:val="-3"/>
          <w:sz w:val="28"/>
        </w:rPr>
        <w:t xml:space="preserve">Совершенствование управления исполнением </w:t>
      </w:r>
      <w:r>
        <w:rPr>
          <w:b w:val="1"/>
          <w:color w:val="000000"/>
          <w:spacing w:val="-3"/>
          <w:sz w:val="28"/>
        </w:rPr>
        <w:br/>
      </w:r>
      <w:r>
        <w:rPr>
          <w:b w:val="1"/>
          <w:color w:val="000000"/>
          <w:spacing w:val="2"/>
          <w:sz w:val="28"/>
        </w:rPr>
        <w:t xml:space="preserve">бюджета </w:t>
      </w:r>
      <w:r>
        <w:rPr>
          <w:b w:val="1"/>
          <w:sz w:val="28"/>
        </w:rPr>
        <w:t xml:space="preserve">городского </w:t>
      </w:r>
      <w:r>
        <w:rPr>
          <w:b w:val="1"/>
          <w:sz w:val="28"/>
        </w:rPr>
        <w:t>поселения «</w:t>
      </w:r>
      <w:r>
        <w:rPr>
          <w:b w:val="1"/>
          <w:sz w:val="28"/>
        </w:rPr>
        <w:t>Дедовичи</w:t>
      </w:r>
      <w:r>
        <w:rPr>
          <w:b w:val="1"/>
          <w:sz w:val="28"/>
        </w:rPr>
        <w:t>»</w:t>
      </w:r>
    </w:p>
    <w:p w14:paraId="5E000000">
      <w:pPr>
        <w:tabs>
          <w:tab w:leader="none" w:pos="292" w:val="left"/>
        </w:tabs>
        <w:ind w:firstLine="709" w:left="0"/>
        <w:jc w:val="both"/>
        <w:rPr>
          <w:b w:val="1"/>
        </w:rPr>
      </w:pPr>
    </w:p>
    <w:p w14:paraId="5F000000">
      <w:pPr>
        <w:tabs>
          <w:tab w:leader="none" w:pos="292" w:val="left"/>
        </w:tabs>
        <w:ind w:firstLine="567" w:left="0"/>
        <w:jc w:val="both"/>
        <w:rPr>
          <w:b w:val="1"/>
          <w:color w:val="000000"/>
          <w:spacing w:val="2"/>
          <w:sz w:val="28"/>
        </w:rPr>
      </w:pPr>
      <w:r>
        <w:rPr>
          <w:color w:val="000000"/>
          <w:spacing w:val="3"/>
          <w:sz w:val="28"/>
        </w:rPr>
        <w:t xml:space="preserve">Управление исполнением  бюджета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b w:val="1"/>
          <w:color w:val="000000"/>
          <w:spacing w:val="2"/>
          <w:sz w:val="28"/>
        </w:rPr>
        <w:t xml:space="preserve"> </w:t>
      </w:r>
      <w:r>
        <w:rPr>
          <w:color w:val="000000"/>
          <w:spacing w:val="3"/>
          <w:sz w:val="28"/>
        </w:rPr>
        <w:t xml:space="preserve">в </w:t>
      </w:r>
      <w:r>
        <w:rPr>
          <w:color w:val="000000"/>
          <w:sz w:val="28"/>
        </w:rPr>
        <w:t xml:space="preserve">первую очередь ориентировано на повышение эффективности и строгое </w:t>
      </w:r>
      <w:r>
        <w:rPr>
          <w:color w:val="000000"/>
          <w:spacing w:val="7"/>
          <w:sz w:val="28"/>
        </w:rPr>
        <w:t xml:space="preserve">соблюдение бюджетной дисциплины всеми участниками бюджетного </w:t>
      </w:r>
      <w:r>
        <w:rPr>
          <w:color w:val="000000"/>
          <w:spacing w:val="-1"/>
          <w:sz w:val="28"/>
        </w:rPr>
        <w:t>проце</w:t>
      </w:r>
      <w:r>
        <w:rPr>
          <w:color w:val="000000"/>
          <w:spacing w:val="-1"/>
          <w:sz w:val="28"/>
        </w:rPr>
        <w:t>с</w:t>
      </w:r>
      <w:r>
        <w:rPr>
          <w:color w:val="000000"/>
          <w:spacing w:val="-1"/>
          <w:sz w:val="28"/>
        </w:rPr>
        <w:t>са, включая:</w:t>
      </w:r>
    </w:p>
    <w:p w14:paraId="60000000">
      <w:pPr>
        <w:spacing w:line="324" w:lineRule="exact"/>
        <w:ind w:firstLine="567" w:left="0"/>
        <w:jc w:val="both"/>
      </w:pPr>
      <w:r>
        <w:rPr>
          <w:color w:val="000000"/>
          <w:spacing w:val="9"/>
          <w:sz w:val="28"/>
        </w:rPr>
        <w:t xml:space="preserve">- принятие главными распорядителями бюджетных средств </w:t>
      </w:r>
      <w:r>
        <w:rPr>
          <w:color w:val="000000"/>
          <w:sz w:val="28"/>
        </w:rPr>
        <w:t>обяз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тельств только в пределах доведенных до них лимитов бюджетных </w:t>
      </w:r>
      <w:r>
        <w:rPr>
          <w:color w:val="000000"/>
          <w:spacing w:val="-3"/>
          <w:sz w:val="28"/>
        </w:rPr>
        <w:t>обяз</w:t>
      </w:r>
      <w:r>
        <w:rPr>
          <w:color w:val="000000"/>
          <w:spacing w:val="-3"/>
          <w:sz w:val="28"/>
        </w:rPr>
        <w:t>а</w:t>
      </w:r>
      <w:r>
        <w:rPr>
          <w:color w:val="000000"/>
          <w:spacing w:val="-3"/>
          <w:sz w:val="28"/>
        </w:rPr>
        <w:t>тельств;</w:t>
      </w:r>
    </w:p>
    <w:p w14:paraId="61000000">
      <w:pPr>
        <w:spacing w:line="324" w:lineRule="exact"/>
        <w:ind w:firstLine="567" w:left="0"/>
        <w:jc w:val="both"/>
      </w:pPr>
      <w:r>
        <w:rPr>
          <w:color w:val="000000"/>
          <w:sz w:val="28"/>
        </w:rPr>
        <w:t xml:space="preserve">- </w:t>
      </w:r>
      <w:r>
        <w:rPr>
          <w:color w:val="000000"/>
          <w:spacing w:val="4"/>
          <w:sz w:val="28"/>
        </w:rPr>
        <w:t xml:space="preserve">обеспечение жесткого контроля за отсутствием кредиторской </w:t>
      </w:r>
      <w:r>
        <w:rPr>
          <w:color w:val="000000"/>
          <w:spacing w:val="-1"/>
          <w:sz w:val="28"/>
        </w:rPr>
        <w:t>задо</w:t>
      </w:r>
      <w:r>
        <w:rPr>
          <w:color w:val="000000"/>
          <w:spacing w:val="-1"/>
          <w:sz w:val="28"/>
        </w:rPr>
        <w:t>л</w:t>
      </w:r>
      <w:r>
        <w:rPr>
          <w:color w:val="000000"/>
          <w:spacing w:val="-1"/>
          <w:sz w:val="28"/>
        </w:rPr>
        <w:t xml:space="preserve">женности по принятым обязательствам, в первую очередь по заработной </w:t>
      </w:r>
      <w:r>
        <w:rPr>
          <w:color w:val="000000"/>
          <w:spacing w:val="1"/>
          <w:sz w:val="28"/>
        </w:rPr>
        <w:t>пл</w:t>
      </w:r>
      <w:r>
        <w:rPr>
          <w:color w:val="000000"/>
          <w:spacing w:val="1"/>
          <w:sz w:val="28"/>
        </w:rPr>
        <w:t>а</w:t>
      </w:r>
      <w:r>
        <w:rPr>
          <w:color w:val="000000"/>
          <w:spacing w:val="1"/>
          <w:sz w:val="28"/>
        </w:rPr>
        <w:t>те, коммунальным услугам и социальным выплатам;</w:t>
      </w:r>
    </w:p>
    <w:p w14:paraId="62000000">
      <w:pPr>
        <w:widowControl w:val="0"/>
        <w:numPr>
          <w:ilvl w:val="0"/>
          <w:numId w:val="2"/>
        </w:numPr>
        <w:tabs>
          <w:tab w:leader="none" w:pos="767" w:val="left"/>
        </w:tabs>
        <w:spacing w:before="4" w:line="320" w:lineRule="exact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совершенствование системы администрирования доходов   местного</w:t>
      </w:r>
      <w:r>
        <w:rPr>
          <w:color w:val="000000"/>
          <w:sz w:val="28"/>
        </w:rPr>
        <w:br/>
      </w:r>
      <w:r>
        <w:rPr>
          <w:color w:val="000000"/>
          <w:spacing w:val="-5"/>
          <w:sz w:val="28"/>
        </w:rPr>
        <w:t>бюджета;</w:t>
      </w:r>
    </w:p>
    <w:p w14:paraId="63000000">
      <w:pPr>
        <w:widowControl w:val="0"/>
        <w:numPr>
          <w:ilvl w:val="0"/>
          <w:numId w:val="2"/>
        </w:numPr>
        <w:tabs>
          <w:tab w:leader="none" w:pos="767" w:val="left"/>
        </w:tabs>
        <w:spacing w:before="7" w:line="320" w:lineRule="exact"/>
        <w:ind w:firstLine="567" w:left="0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>повышение качества бюджетного учета и бюджетной отчетности;</w:t>
      </w:r>
    </w:p>
    <w:p w14:paraId="64000000">
      <w:pPr>
        <w:tabs>
          <w:tab w:leader="none" w:pos="868" w:val="left"/>
        </w:tabs>
        <w:spacing w:line="320" w:lineRule="exact"/>
        <w:ind w:firstLine="567" w:left="0"/>
        <w:jc w:val="both"/>
        <w:rPr>
          <w:color w:val="000000"/>
          <w:spacing w:val="-4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7"/>
          <w:sz w:val="28"/>
        </w:rPr>
        <w:t>контроль за целевым и эффективным использованием бюджетных</w:t>
      </w:r>
      <w:r>
        <w:rPr>
          <w:color w:val="000000"/>
          <w:spacing w:val="7"/>
          <w:sz w:val="28"/>
        </w:rPr>
        <w:br/>
      </w:r>
      <w:r>
        <w:rPr>
          <w:color w:val="000000"/>
          <w:spacing w:val="-4"/>
          <w:sz w:val="28"/>
        </w:rPr>
        <w:t>средств.</w:t>
      </w:r>
    </w:p>
    <w:p w14:paraId="65000000">
      <w:pPr>
        <w:tabs>
          <w:tab w:leader="none" w:pos="868" w:val="left"/>
        </w:tabs>
        <w:spacing w:line="320" w:lineRule="exact"/>
        <w:ind w:firstLine="567" w:left="0"/>
        <w:jc w:val="both"/>
        <w:rPr>
          <w:color w:val="000000"/>
          <w:spacing w:val="-4"/>
          <w:sz w:val="28"/>
        </w:rPr>
      </w:pPr>
    </w:p>
    <w:p w14:paraId="6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2. </w:t>
      </w:r>
      <w:r>
        <w:rPr>
          <w:b w:val="1"/>
          <w:sz w:val="28"/>
        </w:rPr>
        <w:t xml:space="preserve">Основные направления </w:t>
      </w:r>
      <w:r>
        <w:rPr>
          <w:b w:val="1"/>
          <w:sz w:val="28"/>
        </w:rPr>
        <w:t xml:space="preserve">налоговой </w:t>
      </w:r>
      <w:r>
        <w:rPr>
          <w:b w:val="1"/>
          <w:sz w:val="28"/>
        </w:rPr>
        <w:t>политики</w:t>
      </w:r>
    </w:p>
    <w:p w14:paraId="67000000">
      <w:pPr>
        <w:tabs>
          <w:tab w:leader="none" w:pos="868" w:val="left"/>
        </w:tabs>
        <w:spacing w:line="320" w:lineRule="exact"/>
        <w:ind/>
        <w:jc w:val="both"/>
        <w:rPr>
          <w:color w:val="000000"/>
          <w:spacing w:val="-4"/>
          <w:sz w:val="28"/>
        </w:rPr>
      </w:pPr>
    </w:p>
    <w:p w14:paraId="68000000">
      <w:pPr>
        <w:ind w:firstLine="567" w:left="0"/>
        <w:jc w:val="both"/>
        <w:rPr>
          <w:b w:val="1"/>
          <w:sz w:val="28"/>
        </w:rPr>
      </w:pPr>
      <w:r>
        <w:rPr>
          <w:sz w:val="28"/>
        </w:rPr>
        <w:t xml:space="preserve">Основными направления налоговой политики </w:t>
      </w:r>
      <w:r>
        <w:rPr>
          <w:sz w:val="28"/>
        </w:rPr>
        <w:t xml:space="preserve">городского </w:t>
      </w:r>
      <w:r>
        <w:rPr>
          <w:sz w:val="28"/>
        </w:rPr>
        <w:t>поселения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b w:val="1"/>
          <w:sz w:val="28"/>
        </w:rPr>
        <w:t xml:space="preserve"> </w:t>
      </w:r>
      <w:r>
        <w:rPr>
          <w:sz w:val="28"/>
        </w:rPr>
        <w:t>на 2024 год и на плановый период 2025 и 2026 годов</w:t>
      </w:r>
      <w:r>
        <w:rPr>
          <w:b w:val="1"/>
          <w:sz w:val="28"/>
        </w:rPr>
        <w:t xml:space="preserve"> </w:t>
      </w:r>
      <w:r>
        <w:rPr>
          <w:sz w:val="28"/>
        </w:rPr>
        <w:t>являются:</w:t>
      </w:r>
    </w:p>
    <w:p w14:paraId="69000000">
      <w:pPr>
        <w:ind w:firstLine="567" w:left="0"/>
        <w:jc w:val="both"/>
        <w:rPr>
          <w:sz w:val="28"/>
        </w:rPr>
      </w:pPr>
      <w:r>
        <w:rPr>
          <w:sz w:val="28"/>
        </w:rPr>
        <w:t>- обеспечение неизменности налоговой политики;</w:t>
      </w:r>
    </w:p>
    <w:p w14:paraId="6A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color w:val="000000"/>
          <w:sz w:val="28"/>
        </w:rPr>
        <w:t>усиление мер по укреплению налоговой дисциплины налогоплательщиков.</w:t>
      </w:r>
    </w:p>
    <w:p w14:paraId="6B000000">
      <w:pPr>
        <w:ind w:firstLine="567" w:left="0"/>
        <w:jc w:val="both"/>
        <w:rPr>
          <w:sz w:val="28"/>
        </w:rPr>
      </w:pPr>
      <w:r>
        <w:rPr>
          <w:sz w:val="28"/>
        </w:rPr>
        <w:t>В трехлетней перспективе будет продолжена  работа по укреплению доходной базы бюджета поселения за счет наращивания стабильных доходных источников и мобилизации в бюджет имеющихся резервов.</w:t>
      </w:r>
    </w:p>
    <w:p w14:paraId="6C000000">
      <w:pPr>
        <w:ind w:firstLine="567" w:left="0"/>
        <w:jc w:val="both"/>
        <w:rPr>
          <w:sz w:val="28"/>
        </w:rPr>
      </w:pPr>
      <w:r>
        <w:rPr>
          <w:sz w:val="28"/>
        </w:rPr>
        <w:t>Основные усилия должны быть направлены на мобилизацию всех резервов повышения налоговых поступлений.</w:t>
      </w:r>
    </w:p>
    <w:p w14:paraId="6D000000">
      <w:pPr>
        <w:ind w:firstLine="0" w:left="357"/>
        <w:jc w:val="both"/>
        <w:rPr>
          <w:sz w:val="28"/>
        </w:rPr>
      </w:pPr>
    </w:p>
    <w:p w14:paraId="6E000000">
      <w:pPr>
        <w:widowControl w:val="0"/>
        <w:numPr>
          <w:ilvl w:val="1"/>
          <w:numId w:val="3"/>
        </w:numPr>
        <w:ind/>
        <w:rPr>
          <w:b w:val="1"/>
          <w:sz w:val="28"/>
        </w:rPr>
      </w:pPr>
      <w:r>
        <w:rPr>
          <w:b w:val="1"/>
          <w:sz w:val="28"/>
        </w:rPr>
        <w:t xml:space="preserve">Основные цели и задачи налоговой политики на </w:t>
      </w:r>
      <w:r>
        <w:rPr>
          <w:b w:val="1"/>
          <w:sz w:val="28"/>
        </w:rPr>
        <w:t xml:space="preserve">2024-2026  </w:t>
      </w:r>
      <w:r>
        <w:rPr>
          <w:b w:val="1"/>
          <w:sz w:val="28"/>
        </w:rPr>
        <w:t>годы</w:t>
      </w:r>
    </w:p>
    <w:p w14:paraId="6F000000">
      <w:pPr>
        <w:ind/>
        <w:jc w:val="center"/>
        <w:rPr>
          <w:b w:val="1"/>
          <w:sz w:val="28"/>
        </w:rPr>
      </w:pPr>
    </w:p>
    <w:p w14:paraId="7000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Основными </w:t>
      </w:r>
      <w:r>
        <w:rPr>
          <w:rStyle w:val="Style_7_ch"/>
          <w:color w:val="363636"/>
          <w:sz w:val="28"/>
          <w:u w:val="none"/>
        </w:rPr>
        <w:fldChar w:fldCharType="begin"/>
      </w:r>
      <w:r>
        <w:rPr>
          <w:rStyle w:val="Style_7_ch"/>
          <w:color w:val="363636"/>
          <w:sz w:val="28"/>
          <w:u w:val="none"/>
        </w:rPr>
        <w:instrText>HYPERLINK "consultantplus://offline/ref=7E3573DC5297ACCED78C1F9E368D8CAE4E07F5147E8E6747420E9CBF63B2qAB"</w:instrText>
      </w:r>
      <w:r>
        <w:rPr>
          <w:rStyle w:val="Style_7_ch"/>
          <w:color w:val="363636"/>
          <w:sz w:val="28"/>
          <w:u w:val="none"/>
        </w:rPr>
        <w:fldChar w:fldCharType="separate"/>
      </w:r>
      <w:r>
        <w:rPr>
          <w:rStyle w:val="Style_7_ch"/>
          <w:color w:val="363636"/>
          <w:sz w:val="28"/>
          <w:u w:val="none"/>
        </w:rPr>
        <w:t>направлениями</w:t>
      </w:r>
      <w:r>
        <w:rPr>
          <w:rStyle w:val="Style_7_ch"/>
          <w:color w:val="363636"/>
          <w:sz w:val="28"/>
          <w:u w:val="none"/>
        </w:rPr>
        <w:fldChar w:fldCharType="end"/>
      </w:r>
      <w:r>
        <w:rPr>
          <w:sz w:val="28"/>
        </w:rPr>
        <w:t xml:space="preserve"> налоговой политики на 2024 год и на план</w:t>
      </w:r>
      <w:r>
        <w:rPr>
          <w:sz w:val="28"/>
        </w:rPr>
        <w:t>о</w:t>
      </w:r>
      <w:r>
        <w:rPr>
          <w:sz w:val="28"/>
        </w:rPr>
        <w:t xml:space="preserve">вый период 2025 и 2026 годов, </w:t>
      </w:r>
      <w:r>
        <w:rPr>
          <w:rFonts w:ascii="Times New Roman CYR" w:hAnsi="Times New Roman CYR"/>
          <w:sz w:val="28"/>
        </w:rPr>
        <w:t>предусматривается:</w:t>
      </w:r>
    </w:p>
    <w:p w14:paraId="71000000">
      <w:pPr>
        <w:tabs>
          <w:tab w:leader="none" w:pos="883" w:val="left"/>
        </w:tabs>
        <w:spacing w:before="10" w:line="322" w:lineRule="exact"/>
        <w:ind w:firstLine="567" w:left="0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color w:val="000000"/>
          <w:spacing w:val="14"/>
          <w:sz w:val="28"/>
        </w:rPr>
        <w:t>обеспечение роста доходов местного бюджета за счет улучш</w:t>
      </w:r>
      <w:r>
        <w:rPr>
          <w:color w:val="000000"/>
          <w:spacing w:val="14"/>
          <w:sz w:val="28"/>
        </w:rPr>
        <w:t>е</w:t>
      </w:r>
      <w:r>
        <w:rPr>
          <w:color w:val="000000"/>
          <w:spacing w:val="14"/>
          <w:sz w:val="28"/>
        </w:rPr>
        <w:t xml:space="preserve">ния </w:t>
      </w:r>
      <w:r>
        <w:rPr>
          <w:color w:val="000000"/>
          <w:spacing w:val="-1"/>
          <w:sz w:val="28"/>
        </w:rPr>
        <w:t>администрирования уже существующих налогов;</w:t>
      </w:r>
    </w:p>
    <w:p w14:paraId="72000000">
      <w:pPr>
        <w:widowControl w:val="0"/>
        <w:numPr>
          <w:ilvl w:val="0"/>
          <w:numId w:val="4"/>
        </w:numPr>
        <w:tabs>
          <w:tab w:leader="none" w:pos="898" w:val="left"/>
        </w:tabs>
        <w:spacing w:line="326" w:lineRule="exact"/>
        <w:ind w:firstLine="567" w:left="0"/>
        <w:jc w:val="both"/>
        <w:rPr>
          <w:color w:val="000000"/>
          <w:sz w:val="28"/>
        </w:rPr>
      </w:pPr>
      <w:r>
        <w:rPr>
          <w:color w:val="000000"/>
          <w:spacing w:val="8"/>
          <w:sz w:val="28"/>
        </w:rPr>
        <w:t>проведение инвентаризации налоговых льгот по налогу на имущ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 xml:space="preserve">ство </w:t>
      </w:r>
      <w:r>
        <w:rPr>
          <w:color w:val="000000"/>
          <w:spacing w:val="-1"/>
          <w:sz w:val="28"/>
        </w:rPr>
        <w:t>физических лиц и земельному налогу;</w:t>
      </w:r>
    </w:p>
    <w:p w14:paraId="73000000">
      <w:pPr>
        <w:spacing w:line="322" w:lineRule="exact"/>
        <w:ind w:firstLine="567" w:left="0"/>
        <w:jc w:val="both"/>
      </w:pPr>
      <w:r>
        <w:rPr>
          <w:color w:val="000000"/>
          <w:spacing w:val="-1"/>
          <w:sz w:val="28"/>
        </w:rPr>
        <w:t xml:space="preserve">- продолжение работы по повышению эффективности использования </w:t>
      </w:r>
      <w:r>
        <w:rPr>
          <w:color w:val="000000"/>
          <w:spacing w:val="5"/>
          <w:sz w:val="28"/>
        </w:rPr>
        <w:t xml:space="preserve">муниципального имущества с целью увеличения поступлений в </w:t>
      </w:r>
      <w:r>
        <w:rPr>
          <w:color w:val="000000"/>
          <w:spacing w:val="-1"/>
          <w:sz w:val="28"/>
        </w:rPr>
        <w:t>бюджет ненал</w:t>
      </w:r>
      <w:r>
        <w:rPr>
          <w:color w:val="000000"/>
          <w:spacing w:val="-1"/>
          <w:sz w:val="28"/>
        </w:rPr>
        <w:t>о</w:t>
      </w:r>
      <w:r>
        <w:rPr>
          <w:color w:val="000000"/>
          <w:spacing w:val="-1"/>
          <w:sz w:val="28"/>
        </w:rPr>
        <w:t>говых доходов;</w:t>
      </w:r>
    </w:p>
    <w:p w14:paraId="74000000">
      <w:pPr>
        <w:tabs>
          <w:tab w:leader="none" w:pos="1272" w:val="left"/>
        </w:tabs>
        <w:spacing w:line="322" w:lineRule="exact"/>
        <w:ind w:firstLine="567" w:left="0"/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color w:val="000000"/>
          <w:spacing w:val="2"/>
          <w:sz w:val="28"/>
        </w:rPr>
        <w:t xml:space="preserve">создание  благоприятных условий для деятельности субъектов </w:t>
      </w:r>
      <w:r>
        <w:rPr>
          <w:color w:val="000000"/>
          <w:spacing w:val="-1"/>
          <w:sz w:val="28"/>
        </w:rPr>
        <w:t>среднего и малого предпринимательства во всех отраслях;</w:t>
      </w:r>
    </w:p>
    <w:p w14:paraId="75000000">
      <w:pPr>
        <w:tabs>
          <w:tab w:leader="none" w:pos="1272" w:val="left"/>
        </w:tabs>
        <w:spacing w:line="322" w:lineRule="exact"/>
        <w:ind w:firstLine="567" w:left="0"/>
        <w:jc w:val="both"/>
      </w:pPr>
      <w:r>
        <w:rPr>
          <w:color w:val="000000"/>
          <w:spacing w:val="-1"/>
          <w:sz w:val="28"/>
        </w:rPr>
        <w:t>-инвентаризация сведений об объектах недвижимого имущества с целью выявления объектов, не поставленных на кадастровый учет;</w:t>
      </w:r>
    </w:p>
    <w:p w14:paraId="76000000">
      <w:pPr>
        <w:tabs>
          <w:tab w:leader="none" w:pos="1258" w:val="left"/>
        </w:tabs>
        <w:spacing w:line="322" w:lineRule="exact"/>
        <w:ind w:firstLine="567" w:left="0"/>
        <w:jc w:val="both"/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ab/>
      </w:r>
      <w:r>
        <w:rPr>
          <w:color w:val="000000"/>
          <w:spacing w:val="2"/>
          <w:sz w:val="28"/>
        </w:rPr>
        <w:t xml:space="preserve">проведение  разъяснительной работы с физическими лицами о </w:t>
      </w:r>
      <w:r>
        <w:rPr>
          <w:color w:val="000000"/>
          <w:spacing w:val="-1"/>
          <w:sz w:val="28"/>
        </w:rPr>
        <w:t>необходимости регистрации объектов недвижимости в органах,</w:t>
      </w:r>
      <w:r>
        <w:rPr>
          <w:color w:val="000000"/>
          <w:spacing w:val="-1"/>
          <w:sz w:val="28"/>
        </w:rPr>
        <w:br/>
      </w:r>
      <w:r>
        <w:rPr>
          <w:color w:val="000000"/>
          <w:spacing w:val="10"/>
          <w:sz w:val="28"/>
        </w:rPr>
        <w:t>осуществляющих регистрацию прав на недвижимое имущество и сд</w:t>
      </w:r>
      <w:r>
        <w:rPr>
          <w:color w:val="000000"/>
          <w:spacing w:val="10"/>
          <w:sz w:val="28"/>
        </w:rPr>
        <w:t>е</w:t>
      </w:r>
      <w:r>
        <w:rPr>
          <w:color w:val="000000"/>
          <w:spacing w:val="10"/>
          <w:sz w:val="28"/>
        </w:rPr>
        <w:t>лок с</w:t>
      </w:r>
      <w:r>
        <w:rPr>
          <w:color w:val="000000"/>
          <w:spacing w:val="10"/>
          <w:sz w:val="28"/>
        </w:rPr>
        <w:t xml:space="preserve"> </w:t>
      </w:r>
      <w:r>
        <w:rPr>
          <w:color w:val="000000"/>
          <w:spacing w:val="-16"/>
          <w:sz w:val="28"/>
        </w:rPr>
        <w:t>ним.</w:t>
      </w:r>
    </w:p>
    <w:p w14:paraId="77000000">
      <w:pPr>
        <w:spacing w:line="322" w:lineRule="exact"/>
        <w:ind w:firstLine="567" w:left="0"/>
        <w:jc w:val="both"/>
      </w:pPr>
      <w:r>
        <w:rPr>
          <w:color w:val="000000"/>
          <w:spacing w:val="2"/>
          <w:sz w:val="28"/>
        </w:rPr>
        <w:t xml:space="preserve">Налоговая политика </w:t>
      </w:r>
      <w:r>
        <w:rPr>
          <w:color w:val="000000"/>
          <w:spacing w:val="2"/>
          <w:sz w:val="28"/>
        </w:rPr>
        <w:t xml:space="preserve">городского </w:t>
      </w:r>
      <w:r>
        <w:rPr>
          <w:color w:val="000000"/>
          <w:spacing w:val="2"/>
          <w:sz w:val="28"/>
        </w:rPr>
        <w:t>поселения «</w:t>
      </w:r>
      <w:r>
        <w:rPr>
          <w:color w:val="000000"/>
          <w:spacing w:val="2"/>
          <w:sz w:val="28"/>
        </w:rPr>
        <w:t>Дедовичи</w:t>
      </w:r>
      <w:r>
        <w:rPr>
          <w:color w:val="000000"/>
          <w:spacing w:val="2"/>
          <w:sz w:val="28"/>
        </w:rPr>
        <w:t xml:space="preserve">» на 2024 - 2026 </w:t>
      </w:r>
      <w:r>
        <w:rPr>
          <w:color w:val="000000"/>
          <w:spacing w:val="1"/>
          <w:sz w:val="28"/>
        </w:rPr>
        <w:t>годы будет отражать преемственность ранее поставленных целей и задач в обл</w:t>
      </w:r>
      <w:r>
        <w:rPr>
          <w:color w:val="000000"/>
          <w:spacing w:val="1"/>
          <w:sz w:val="28"/>
        </w:rPr>
        <w:t>а</w:t>
      </w:r>
      <w:r>
        <w:rPr>
          <w:color w:val="000000"/>
          <w:spacing w:val="1"/>
          <w:sz w:val="28"/>
        </w:rPr>
        <w:t xml:space="preserve">сти </w:t>
      </w:r>
      <w:r>
        <w:rPr>
          <w:color w:val="000000"/>
          <w:spacing w:val="5"/>
          <w:sz w:val="28"/>
        </w:rPr>
        <w:t xml:space="preserve">доходов и будет направлена на сохранение и развитие налоговой базы в </w:t>
      </w:r>
      <w:r>
        <w:rPr>
          <w:color w:val="000000"/>
          <w:spacing w:val="3"/>
          <w:sz w:val="28"/>
        </w:rPr>
        <w:t>сложившихся экономических условиях.</w:t>
      </w:r>
      <w:r>
        <w:rPr>
          <w:color w:val="000000"/>
          <w:spacing w:val="4"/>
          <w:sz w:val="28"/>
        </w:rPr>
        <w:t xml:space="preserve"> Главной </w:t>
      </w:r>
      <w:r>
        <w:rPr>
          <w:color w:val="000000"/>
          <w:spacing w:val="1"/>
          <w:sz w:val="28"/>
        </w:rPr>
        <w:t>целью налоговой п</w:t>
      </w:r>
      <w:r>
        <w:rPr>
          <w:color w:val="000000"/>
          <w:spacing w:val="1"/>
          <w:sz w:val="28"/>
        </w:rPr>
        <w:t>о</w:t>
      </w:r>
      <w:r>
        <w:rPr>
          <w:color w:val="000000"/>
          <w:spacing w:val="1"/>
          <w:sz w:val="28"/>
        </w:rPr>
        <w:t xml:space="preserve">литики на 2024-2026  годы, как и ранее являются обеспечение социальной и </w:t>
      </w:r>
      <w:r>
        <w:rPr>
          <w:color w:val="000000"/>
          <w:spacing w:val="5"/>
          <w:sz w:val="28"/>
        </w:rPr>
        <w:t>экономической стабильности, сбалансированности и устойчивости бю</w:t>
      </w:r>
      <w:r>
        <w:rPr>
          <w:color w:val="000000"/>
          <w:spacing w:val="5"/>
          <w:sz w:val="28"/>
        </w:rPr>
        <w:t>д</w:t>
      </w:r>
      <w:r>
        <w:rPr>
          <w:color w:val="000000"/>
          <w:spacing w:val="5"/>
          <w:sz w:val="28"/>
        </w:rPr>
        <w:t>жета.</w:t>
      </w:r>
    </w:p>
    <w:p w14:paraId="78000000">
      <w:pPr>
        <w:ind w:firstLine="567" w:left="0" w:right="29"/>
        <w:jc w:val="both"/>
        <w:rPr>
          <w:color w:val="000000"/>
          <w:spacing w:val="13"/>
          <w:sz w:val="28"/>
        </w:rPr>
      </w:pPr>
      <w:r>
        <w:rPr>
          <w:color w:val="000000"/>
          <w:sz w:val="28"/>
        </w:rPr>
        <w:t xml:space="preserve">Исходя из поставленных целей, главной задачей налоговой политики </w:t>
      </w:r>
      <w:r>
        <w:rPr>
          <w:color w:val="000000"/>
          <w:spacing w:val="2"/>
          <w:sz w:val="28"/>
        </w:rPr>
        <w:t xml:space="preserve">городского </w:t>
      </w:r>
      <w:r>
        <w:rPr>
          <w:color w:val="000000"/>
          <w:spacing w:val="2"/>
          <w:sz w:val="28"/>
        </w:rPr>
        <w:t>поселения «</w:t>
      </w:r>
      <w:r>
        <w:rPr>
          <w:color w:val="000000"/>
          <w:spacing w:val="2"/>
          <w:sz w:val="28"/>
        </w:rPr>
        <w:t>Дедовичи</w:t>
      </w:r>
      <w:r>
        <w:rPr>
          <w:color w:val="000000"/>
          <w:spacing w:val="2"/>
          <w:sz w:val="28"/>
        </w:rPr>
        <w:t xml:space="preserve">» </w:t>
      </w:r>
      <w:r>
        <w:rPr>
          <w:color w:val="000000"/>
          <w:spacing w:val="1"/>
          <w:sz w:val="28"/>
        </w:rPr>
        <w:t xml:space="preserve">является увеличение доходной части </w:t>
      </w:r>
      <w:r>
        <w:rPr>
          <w:color w:val="000000"/>
          <w:spacing w:val="13"/>
          <w:sz w:val="28"/>
        </w:rPr>
        <w:t xml:space="preserve">бюджета. </w:t>
      </w:r>
      <w:r>
        <w:rPr>
          <w:sz w:val="28"/>
        </w:rPr>
        <w:t>Основными источниками роста налоговых поступлений может стать как повышение налоговых ставок, изменение правил исчисления и уплаты отдельных налогов, так и принятие мер в области налогового администрирования. Отдельным направлением политики в области повышения доходного потенциала налоговой системы будет являться оптимизация существующей системы налоговых льгот и освобождений, а также ликвидация имеющихся возможностей для уклонения от налогообложения.</w:t>
      </w:r>
    </w:p>
    <w:p w14:paraId="79000000">
      <w:pPr>
        <w:pStyle w:val="Style_6"/>
        <w:ind w:firstLine="567" w:left="0"/>
        <w:jc w:val="both"/>
        <w:rPr>
          <w:sz w:val="28"/>
        </w:rPr>
      </w:pPr>
      <w:r>
        <w:rPr>
          <w:sz w:val="28"/>
        </w:rPr>
        <w:t>В соответствии с пунктом 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статьи 58 Бюджетного кодекса Российской Федерации законом об областном бюджете  установлены дифференцирова</w:t>
      </w:r>
      <w:r>
        <w:rPr>
          <w:sz w:val="28"/>
        </w:rPr>
        <w:t>н</w:t>
      </w:r>
      <w:r>
        <w:rPr>
          <w:sz w:val="28"/>
        </w:rPr>
        <w:t>ные нормативы отчислений в местные бюджеты от акцизов на автомобил</w:t>
      </w:r>
      <w:r>
        <w:rPr>
          <w:sz w:val="28"/>
        </w:rPr>
        <w:t>ь</w:t>
      </w:r>
      <w:r>
        <w:rPr>
          <w:sz w:val="28"/>
        </w:rPr>
        <w:t>ный и прямогонный бензин, дизельное топливо, моторные масла для дизел</w:t>
      </w:r>
      <w:r>
        <w:rPr>
          <w:sz w:val="28"/>
        </w:rPr>
        <w:t>ь</w:t>
      </w:r>
      <w:r>
        <w:rPr>
          <w:sz w:val="28"/>
        </w:rPr>
        <w:t>ных и (или) карбюраторных (инжекторных) двигателей, производимых на территории  Российской Федерации, исходя из зачисления в местные бюдж</w:t>
      </w:r>
      <w:r>
        <w:rPr>
          <w:sz w:val="28"/>
        </w:rPr>
        <w:t>е</w:t>
      </w:r>
      <w:r>
        <w:rPr>
          <w:sz w:val="28"/>
        </w:rPr>
        <w:t>ты не менее 10 процентов налоговых доходов консолидированного бюджета области от ук</w:t>
      </w:r>
      <w:r>
        <w:rPr>
          <w:sz w:val="28"/>
        </w:rPr>
        <w:t>а</w:t>
      </w:r>
      <w:r>
        <w:rPr>
          <w:sz w:val="28"/>
        </w:rPr>
        <w:t>занного налога.</w:t>
      </w:r>
    </w:p>
    <w:p w14:paraId="7A000000">
      <w:pPr>
        <w:ind w:firstLine="567" w:left="0"/>
        <w:jc w:val="both"/>
        <w:rPr>
          <w:sz w:val="28"/>
        </w:rPr>
      </w:pPr>
      <w:r>
        <w:rPr>
          <w:sz w:val="28"/>
        </w:rPr>
        <w:t>Данные дифференцированные нормативы будут одним из источников формирования муниципальных дорожных фондов, которые в соответствии со статьей 179</w:t>
      </w:r>
      <w:r>
        <w:rPr>
          <w:sz w:val="28"/>
          <w:vertAlign w:val="superscript"/>
        </w:rPr>
        <w:t xml:space="preserve">4 </w:t>
      </w:r>
      <w:r>
        <w:rPr>
          <w:sz w:val="28"/>
        </w:rPr>
        <w:t>Бюджетного кодекса Российской Федерации с 2014 года обязано создать муниципальное образование.</w:t>
      </w:r>
    </w:p>
    <w:p w14:paraId="7B000000">
      <w:pPr>
        <w:ind w:firstLine="567" w:left="0" w:right="2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Выполнение всех перечисленных  направлений  позволит сформировать на территории </w:t>
      </w:r>
      <w:r>
        <w:rPr>
          <w:color w:val="000000"/>
          <w:sz w:val="28"/>
        </w:rPr>
        <w:t xml:space="preserve">городского </w:t>
      </w:r>
      <w:r>
        <w:rPr>
          <w:color w:val="000000"/>
          <w:sz w:val="28"/>
        </w:rPr>
        <w:t>поселения  благоприятный климат для  устойчивого формирования бюджета.</w:t>
      </w:r>
    </w:p>
    <w:p w14:paraId="7C000000">
      <w:pPr>
        <w:ind w:firstLine="567" w:left="0" w:right="29"/>
        <w:rPr>
          <w:color w:val="000000"/>
          <w:spacing w:val="13"/>
          <w:sz w:val="28"/>
        </w:rPr>
      </w:pPr>
      <w:r>
        <w:rPr>
          <w:color w:val="000000"/>
          <w:spacing w:val="13"/>
          <w:sz w:val="28"/>
        </w:rPr>
        <w:t>Достижение указанной задачи будет осуществляться  за счет реализации  мероприятий по следующим направлениям:</w:t>
      </w:r>
    </w:p>
    <w:p w14:paraId="7D000000">
      <w:pPr>
        <w:ind w:firstLine="567" w:left="0" w:right="29"/>
        <w:jc w:val="both"/>
        <w:rPr>
          <w:color w:val="000000"/>
          <w:spacing w:val="13"/>
          <w:sz w:val="28"/>
        </w:rPr>
      </w:pPr>
      <w:r>
        <w:rPr>
          <w:color w:val="000000"/>
          <w:spacing w:val="13"/>
          <w:sz w:val="28"/>
        </w:rPr>
        <w:t>1.Повышение  собираемости налогов за счет улучшения налогового администрирования:</w:t>
      </w:r>
    </w:p>
    <w:p w14:paraId="7E000000">
      <w:pPr>
        <w:ind w:firstLine="567" w:left="0" w:right="29"/>
        <w:jc w:val="both"/>
        <w:rPr>
          <w:color w:val="000000"/>
          <w:spacing w:val="13"/>
          <w:sz w:val="28"/>
        </w:rPr>
      </w:pPr>
      <w:r>
        <w:rPr>
          <w:color w:val="000000"/>
          <w:spacing w:val="13"/>
          <w:sz w:val="28"/>
        </w:rPr>
        <w:t>-совершенствование налогового учета и налоговой статистики;</w:t>
      </w:r>
    </w:p>
    <w:p w14:paraId="7F000000">
      <w:pPr>
        <w:ind w:firstLine="567" w:left="0" w:right="29"/>
        <w:jc w:val="both"/>
        <w:rPr>
          <w:color w:val="000000"/>
          <w:spacing w:val="13"/>
          <w:sz w:val="28"/>
        </w:rPr>
      </w:pPr>
      <w:r>
        <w:rPr>
          <w:color w:val="000000"/>
          <w:spacing w:val="13"/>
          <w:sz w:val="28"/>
        </w:rPr>
        <w:t>-  повышение контрольной работы;</w:t>
      </w:r>
    </w:p>
    <w:p w14:paraId="80000000">
      <w:pPr>
        <w:ind w:firstLine="567" w:left="0" w:right="29"/>
        <w:jc w:val="both"/>
        <w:rPr>
          <w:color w:val="000000"/>
          <w:spacing w:val="13"/>
          <w:sz w:val="28"/>
        </w:rPr>
      </w:pPr>
      <w:r>
        <w:rPr>
          <w:color w:val="000000"/>
          <w:spacing w:val="13"/>
          <w:sz w:val="28"/>
        </w:rPr>
        <w:t>- содействие налоговой  дисциплины;</w:t>
      </w:r>
    </w:p>
    <w:p w14:paraId="81000000">
      <w:pPr>
        <w:ind w:firstLine="567" w:left="0" w:right="29"/>
        <w:jc w:val="both"/>
        <w:rPr>
          <w:color w:val="000000"/>
          <w:spacing w:val="13"/>
          <w:sz w:val="28"/>
        </w:rPr>
      </w:pPr>
      <w:r>
        <w:rPr>
          <w:color w:val="000000"/>
          <w:spacing w:val="13"/>
          <w:sz w:val="28"/>
        </w:rPr>
        <w:t>- проведение  на постоянной основе мониторинга стратегических предприятий в целях своевременного и оперативного принятия совместных решений для стабилизации их работы и сокращения недоимки по налогам в бюджет;</w:t>
      </w:r>
    </w:p>
    <w:p w14:paraId="82000000">
      <w:pPr>
        <w:ind w:firstLine="567" w:left="0" w:right="29"/>
        <w:jc w:val="both"/>
        <w:rPr>
          <w:color w:val="000000"/>
          <w:spacing w:val="-3"/>
          <w:sz w:val="29"/>
        </w:rPr>
      </w:pPr>
      <w:r>
        <w:rPr>
          <w:color w:val="000000"/>
          <w:spacing w:val="-4"/>
          <w:sz w:val="29"/>
        </w:rPr>
        <w:t xml:space="preserve">-  проведение технической инвентаризации объектов недвижимого   имущества, которое обеспечило бы более справедливое </w:t>
      </w:r>
      <w:r>
        <w:rPr>
          <w:color w:val="000000"/>
          <w:spacing w:val="-2"/>
          <w:sz w:val="29"/>
        </w:rPr>
        <w:t xml:space="preserve">распределение налоговой нагрузки между объектами недвижимого </w:t>
      </w:r>
      <w:r>
        <w:rPr>
          <w:color w:val="000000"/>
          <w:spacing w:val="-3"/>
          <w:sz w:val="29"/>
        </w:rPr>
        <w:t>имущества с разной рыночной стоимостью;</w:t>
      </w:r>
    </w:p>
    <w:p w14:paraId="83000000">
      <w:pPr>
        <w:ind w:firstLine="567" w:left="5" w:right="5"/>
        <w:jc w:val="both"/>
        <w:rPr>
          <w:color w:val="000000"/>
          <w:spacing w:val="-5"/>
          <w:sz w:val="29"/>
        </w:rPr>
      </w:pPr>
      <w:r>
        <w:rPr>
          <w:color w:val="000000"/>
          <w:spacing w:val="10"/>
          <w:sz w:val="29"/>
        </w:rPr>
        <w:t xml:space="preserve">- проведение адресной работы с организациями, имеющими </w:t>
      </w:r>
      <w:r>
        <w:rPr>
          <w:color w:val="000000"/>
          <w:spacing w:val="-4"/>
          <w:sz w:val="29"/>
        </w:rPr>
        <w:t>задолженность по налогам;</w:t>
      </w:r>
    </w:p>
    <w:p w14:paraId="84000000">
      <w:pPr>
        <w:tabs>
          <w:tab w:leader="none" w:pos="811" w:val="left"/>
        </w:tabs>
        <w:ind w:firstLine="567" w:left="5"/>
        <w:jc w:val="both"/>
        <w:rPr>
          <w:color w:val="000000"/>
          <w:spacing w:val="-5"/>
          <w:sz w:val="29"/>
        </w:rPr>
      </w:pPr>
      <w:r>
        <w:rPr>
          <w:color w:val="000000"/>
          <w:spacing w:val="-5"/>
          <w:sz w:val="29"/>
        </w:rPr>
        <w:t>2. Систематизация действующих налоговых льгот и оценка их эффективности через:</w:t>
      </w:r>
    </w:p>
    <w:p w14:paraId="85000000">
      <w:pPr>
        <w:tabs>
          <w:tab w:leader="none" w:pos="811" w:val="left"/>
        </w:tabs>
        <w:ind w:firstLine="567" w:left="5"/>
        <w:jc w:val="both"/>
        <w:rPr>
          <w:color w:val="000000"/>
          <w:spacing w:val="-5"/>
          <w:sz w:val="29"/>
        </w:rPr>
      </w:pPr>
      <w:r>
        <w:rPr>
          <w:color w:val="000000"/>
          <w:spacing w:val="-5"/>
          <w:sz w:val="29"/>
        </w:rPr>
        <w:t>-определение степени результативности налоговых льгот;</w:t>
      </w:r>
    </w:p>
    <w:p w14:paraId="86000000">
      <w:pPr>
        <w:tabs>
          <w:tab w:leader="none" w:pos="739" w:val="left"/>
        </w:tabs>
        <w:ind w:firstLine="567" w:left="10"/>
        <w:jc w:val="both"/>
        <w:rPr>
          <w:color w:val="000000"/>
          <w:spacing w:val="-4"/>
          <w:sz w:val="29"/>
        </w:rPr>
      </w:pPr>
      <w:r>
        <w:rPr>
          <w:color w:val="000000"/>
          <w:sz w:val="29"/>
        </w:rPr>
        <w:t>-</w:t>
      </w:r>
      <w:r>
        <w:rPr>
          <w:color w:val="000000"/>
          <w:sz w:val="29"/>
        </w:rPr>
        <w:tab/>
      </w:r>
      <w:r>
        <w:rPr>
          <w:color w:val="000000"/>
          <w:spacing w:val="-4"/>
          <w:sz w:val="29"/>
        </w:rPr>
        <w:t xml:space="preserve">проведение инвентаризации действующих налоговых льгот   по налогу на имущество </w:t>
      </w:r>
      <w:r>
        <w:rPr>
          <w:color w:val="000000"/>
          <w:spacing w:val="-5"/>
          <w:sz w:val="29"/>
        </w:rPr>
        <w:t>физических лиц и земельному налогу с учетом принятия решения об их пролонгации или отмене по результатам проведенного анализа результативности.</w:t>
      </w:r>
    </w:p>
    <w:p w14:paraId="87000000">
      <w:pPr>
        <w:ind w:firstLine="567" w:left="0" w:right="10"/>
        <w:jc w:val="both"/>
        <w:rPr>
          <w:color w:val="000000"/>
          <w:sz w:val="28"/>
        </w:rPr>
      </w:pPr>
      <w:r>
        <w:rPr>
          <w:color w:val="000000"/>
          <w:spacing w:val="-1"/>
          <w:sz w:val="28"/>
        </w:rPr>
        <w:t xml:space="preserve">3. Продолжение работы по повышению эффективности использования </w:t>
      </w:r>
      <w:r>
        <w:rPr>
          <w:color w:val="000000"/>
          <w:sz w:val="28"/>
        </w:rPr>
        <w:t>муниципального имущества с целью увеличения поступлений в местный бюджет неналоговых доходов по средствам:</w:t>
      </w:r>
    </w:p>
    <w:p w14:paraId="88000000">
      <w:pPr>
        <w:ind w:firstLine="567" w:left="0" w:right="10"/>
        <w:jc w:val="both"/>
        <w:rPr>
          <w:color w:val="000000"/>
          <w:sz w:val="28"/>
        </w:rPr>
      </w:pPr>
      <w:r>
        <w:rPr>
          <w:color w:val="000000"/>
          <w:sz w:val="28"/>
        </w:rPr>
        <w:t>- формирования земельных участков для вовлечения в хозяйственный оборот;</w:t>
      </w:r>
    </w:p>
    <w:p w14:paraId="89000000">
      <w:pPr>
        <w:ind w:firstLine="567" w:left="0" w:right="10"/>
        <w:jc w:val="both"/>
        <w:rPr>
          <w:color w:val="000000"/>
          <w:sz w:val="28"/>
        </w:rPr>
      </w:pPr>
      <w:r>
        <w:rPr>
          <w:color w:val="000000"/>
          <w:sz w:val="28"/>
        </w:rPr>
        <w:t>- проведение работы по недопущению самовольного захвата земельных участков или использования земельных участков без оформления в установленном  порядке правоустанавливающих документов на землю  и привлечению по выявленным  фактам к ответственности;</w:t>
      </w:r>
    </w:p>
    <w:p w14:paraId="8A000000">
      <w:pPr>
        <w:ind w:firstLine="567" w:left="0" w:right="10"/>
        <w:jc w:val="both"/>
        <w:rPr>
          <w:color w:val="000000"/>
          <w:sz w:val="28"/>
        </w:rPr>
      </w:pPr>
      <w:r>
        <w:rPr>
          <w:color w:val="000000"/>
          <w:sz w:val="28"/>
        </w:rPr>
        <w:t>-  осуществление  контроля за соблюдением условий заключенных договоров аренды, проведение претензионной работы с неплательщиками;</w:t>
      </w:r>
    </w:p>
    <w:p w14:paraId="8B000000">
      <w:pPr>
        <w:ind w:firstLine="567" w:left="0" w:right="10"/>
        <w:jc w:val="both"/>
        <w:rPr>
          <w:color w:val="000000"/>
          <w:sz w:val="28"/>
        </w:rPr>
      </w:pPr>
      <w:r>
        <w:rPr>
          <w:color w:val="000000"/>
          <w:sz w:val="28"/>
        </w:rPr>
        <w:t>-  организации   проведения торгов (аукционов, конкурсов) по продаже (сдаче в аренду) земельных участков, муниципального имущества;</w:t>
      </w:r>
    </w:p>
    <w:p w14:paraId="8C000000">
      <w:pPr>
        <w:ind w:firstLine="567" w:left="0" w:right="10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>- активизации работы по распоряжению земельными участками,</w:t>
      </w:r>
      <w:r>
        <w:rPr>
          <w:color w:val="000000"/>
          <w:spacing w:val="5"/>
          <w:sz w:val="28"/>
        </w:rPr>
        <w:br/>
      </w:r>
      <w:r>
        <w:rPr>
          <w:color w:val="000000"/>
          <w:sz w:val="28"/>
        </w:rPr>
        <w:t>государственная собственность на которые не разграничена.</w:t>
      </w:r>
    </w:p>
    <w:p w14:paraId="8D000000">
      <w:pPr>
        <w:ind w:firstLine="567" w:left="0" w:right="10"/>
        <w:jc w:val="both"/>
        <w:rPr>
          <w:color w:val="000000"/>
          <w:sz w:val="28"/>
        </w:rPr>
      </w:pPr>
    </w:p>
    <w:p w14:paraId="8E000000">
      <w:pPr>
        <w:ind w:right="10"/>
        <w:jc w:val="both"/>
        <w:rPr>
          <w:color w:val="000000"/>
          <w:sz w:val="28"/>
        </w:rPr>
      </w:pPr>
    </w:p>
    <w:p w14:paraId="8F000000">
      <w:pPr>
        <w:ind/>
        <w:jc w:val="center"/>
        <w:rPr>
          <w:b w:val="1"/>
          <w:sz w:val="28"/>
        </w:rPr>
      </w:pPr>
      <w:r>
        <w:rPr>
          <w:b w:val="1"/>
          <w:sz w:val="28"/>
          <w:highlight w:val="white"/>
        </w:rPr>
        <w:t xml:space="preserve">     2.</w:t>
      </w:r>
      <w:r>
        <w:rPr>
          <w:sz w:val="28"/>
          <w:highlight w:val="white"/>
        </w:rPr>
        <w:t xml:space="preserve"> </w:t>
      </w:r>
      <w:r>
        <w:rPr>
          <w:b w:val="1"/>
          <w:sz w:val="28"/>
        </w:rPr>
        <w:t>2. Совершенствование методов налогового администрирования</w:t>
      </w:r>
    </w:p>
    <w:p w14:paraId="90000000">
      <w:pPr>
        <w:ind/>
        <w:jc w:val="center"/>
        <w:rPr>
          <w:b w:val="1"/>
          <w:sz w:val="28"/>
        </w:rPr>
      </w:pPr>
    </w:p>
    <w:p w14:paraId="91000000">
      <w:pPr>
        <w:ind w:firstLine="567" w:left="0"/>
        <w:jc w:val="both"/>
        <w:rPr>
          <w:sz w:val="28"/>
        </w:rPr>
      </w:pPr>
      <w:r>
        <w:rPr>
          <w:sz w:val="28"/>
        </w:rPr>
        <w:t>Налоговая политика трехлетнего периода, так же как и предыдущих лет, будет направлена на проведение целенаправленной и эффективной работы с федеральными, областными и местными администраторами доходов  бюджета поселения  с целью пополнения доходами  бюджет поселения, выявления скрытых резервов, повышения уровня собираемости налогов, сокращения недоимки, усиления налоговой дисциплины путем:</w:t>
      </w:r>
    </w:p>
    <w:p w14:paraId="92000000">
      <w:pPr>
        <w:ind w:firstLine="567" w:left="0"/>
        <w:jc w:val="both"/>
        <w:rPr>
          <w:sz w:val="28"/>
        </w:rPr>
      </w:pPr>
      <w:r>
        <w:rPr>
          <w:sz w:val="28"/>
        </w:rPr>
        <w:t>- установления главным администраторам (администраторам) доходов  бюджета поселения годового задания по мобилизации администрируемых ими налоговых и неналоговых доходов;</w:t>
      </w:r>
    </w:p>
    <w:p w14:paraId="93000000">
      <w:pPr>
        <w:ind w:firstLine="567" w:left="0"/>
        <w:jc w:val="both"/>
        <w:rPr>
          <w:rFonts w:ascii="Times New Roman CYR" w:hAnsi="Times New Roman CYR"/>
          <w:sz w:val="28"/>
        </w:rPr>
      </w:pPr>
      <w:r>
        <w:rPr>
          <w:sz w:val="28"/>
        </w:rPr>
        <w:t>- проведения индивидуальной работы на заседаниях межведомственных комиссий с организациями, имеющими задолженность по платежам в  бюджет поселения, и средняя заработная плата которых ниже среднеотраслевого уровня.</w:t>
      </w:r>
    </w:p>
    <w:p w14:paraId="94000000">
      <w:pPr>
        <w:rPr>
          <w:rFonts w:ascii="Times New Roman CYR" w:hAnsi="Times New Roman CYR"/>
          <w:b w:val="1"/>
          <w:i w:val="1"/>
          <w:color w:val="800000"/>
        </w:rPr>
      </w:pPr>
    </w:p>
    <w:p w14:paraId="95000000">
      <w:pPr>
        <w:pStyle w:val="Style_8"/>
        <w:spacing w:after="0" w:line="240" w:lineRule="auto"/>
        <w:ind/>
        <w:jc w:val="both"/>
        <w:rPr>
          <w:color w:val="000000"/>
          <w:sz w:val="28"/>
        </w:rPr>
      </w:pPr>
    </w:p>
    <w:p w14:paraId="96000000">
      <w:pPr>
        <w:ind/>
        <w:jc w:val="both"/>
        <w:rPr>
          <w:sz w:val="28"/>
        </w:rPr>
      </w:pPr>
      <w:r>
        <w:rPr>
          <w:sz w:val="28"/>
        </w:rPr>
        <w:t xml:space="preserve">     </w:t>
      </w:r>
    </w:p>
    <w:p w14:paraId="97000000">
      <w:pPr>
        <w:ind w:firstLine="709" w:left="0"/>
        <w:jc w:val="center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                                     </w:t>
      </w:r>
    </w:p>
    <w:p w14:paraId="98000000">
      <w:pPr>
        <w:rPr>
          <w:color w:val="000000"/>
          <w:spacing w:val="-3"/>
          <w:sz w:val="28"/>
        </w:rPr>
      </w:pPr>
    </w:p>
    <w:p w14:paraId="99000000">
      <w:pPr>
        <w:pStyle w:val="Style_3"/>
        <w:spacing w:after="0" w:before="0"/>
        <w:ind/>
        <w:jc w:val="right"/>
        <w:rPr>
          <w:sz w:val="28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435" w:val="left"/>
        </w:tabs>
        <w:ind w:hanging="435" w:left="435"/>
      </w:pPr>
      <w:rPr>
        <w:b w:val="1"/>
      </w:rPr>
    </w:lvl>
    <w:lvl w:ilvl="1">
      <w:start w:val="1"/>
      <w:numFmt w:val="decimal"/>
      <w:lvlText w:val="%1.%2."/>
      <w:lvlJc w:val="left"/>
      <w:pPr>
        <w:tabs>
          <w:tab w:leader="none" w:pos="1800" w:val="left"/>
        </w:tabs>
        <w:ind w:hanging="720" w:left="1800"/>
      </w:pPr>
      <w:rPr>
        <w:b w:val="1"/>
      </w:rPr>
    </w:lvl>
    <w:lvl w:ilvl="2">
      <w:start w:val="1"/>
      <w:numFmt w:val="decimal"/>
      <w:lvlText w:val="%1.%2.%3."/>
      <w:lvlJc w:val="left"/>
      <w:pPr>
        <w:tabs>
          <w:tab w:leader="none" w:pos="2880" w:val="left"/>
        </w:tabs>
        <w:ind w:hanging="720" w:left="2880"/>
      </w:pPr>
      <w:rPr>
        <w:b w:val="1"/>
      </w:rPr>
    </w:lvl>
    <w:lvl w:ilvl="3">
      <w:start w:val="1"/>
      <w:numFmt w:val="decimal"/>
      <w:lvlText w:val="%1.%2.%3.%4."/>
      <w:lvlJc w:val="left"/>
      <w:pPr>
        <w:tabs>
          <w:tab w:leader="none" w:pos="4320" w:val="left"/>
        </w:tabs>
        <w:ind w:hanging="1080" w:left="4320"/>
      </w:pPr>
      <w:rPr>
        <w:b w:val="1"/>
      </w:rPr>
    </w:lvl>
    <w:lvl w:ilvl="4">
      <w:start w:val="1"/>
      <w:numFmt w:val="decimal"/>
      <w:lvlText w:val="%1.%2.%3.%4.%5."/>
      <w:lvlJc w:val="left"/>
      <w:pPr>
        <w:tabs>
          <w:tab w:leader="none" w:pos="5400" w:val="left"/>
        </w:tabs>
        <w:ind w:hanging="1080" w:left="5400"/>
      </w:pPr>
      <w:rPr>
        <w:b w:val="1"/>
      </w:rPr>
    </w:lvl>
    <w:lvl w:ilvl="5">
      <w:start w:val="1"/>
      <w:numFmt w:val="decimal"/>
      <w:lvlText w:val="%1.%2.%3.%4.%5.%6."/>
      <w:lvlJc w:val="left"/>
      <w:pPr>
        <w:tabs>
          <w:tab w:leader="none" w:pos="6840" w:val="left"/>
        </w:tabs>
        <w:ind w:hanging="1440" w:left="6840"/>
      </w:pPr>
      <w:rPr>
        <w:b w:val="1"/>
      </w:rPr>
    </w:lvl>
    <w:lvl w:ilvl="6">
      <w:start w:val="1"/>
      <w:numFmt w:val="decimal"/>
      <w:lvlText w:val="%1.%2.%3.%4.%5.%6.%7."/>
      <w:lvlJc w:val="left"/>
      <w:pPr>
        <w:tabs>
          <w:tab w:leader="none" w:pos="8280" w:val="left"/>
        </w:tabs>
        <w:ind w:hanging="1800" w:left="8280"/>
      </w:pPr>
      <w:rPr>
        <w:b w:val="1"/>
      </w:rPr>
    </w:lvl>
    <w:lvl w:ilvl="7">
      <w:start w:val="1"/>
      <w:numFmt w:val="decimal"/>
      <w:lvlText w:val="%1.%2.%3.%4.%5.%6.%7.%8."/>
      <w:lvlJc w:val="left"/>
      <w:pPr>
        <w:tabs>
          <w:tab w:leader="none" w:pos="9360" w:val="left"/>
        </w:tabs>
        <w:ind w:hanging="1800" w:left="9360"/>
      </w:pPr>
      <w:rPr>
        <w:b w:val="1"/>
      </w:rPr>
    </w:lvl>
    <w:lvl w:ilvl="8">
      <w:start w:val="1"/>
      <w:numFmt w:val="decimal"/>
      <w:lvlText w:val="%1.%2.%3.%4.%5.%6.%7.%8.%9."/>
      <w:lvlJc w:val="left"/>
      <w:pPr>
        <w:tabs>
          <w:tab w:leader="none" w:pos="10800" w:val="left"/>
        </w:tabs>
        <w:ind w:hanging="2160" w:left="10800"/>
      </w:pPr>
      <w:rPr>
        <w:b w:val="1"/>
      </w:rPr>
    </w:lvl>
  </w:abstractNum>
  <w:abstractNum w:abstractNumId="1">
    <w:lvl w:ilvl="0">
      <w:start w:val="0"/>
      <w:numFmt w:val="bullet"/>
      <w:lvlText w:val="*"/>
      <w:lvlJc w:val="left"/>
    </w:lvl>
  </w:abstractNum>
  <w:abstractNum w:abstractNumId="2">
    <w:lvl w:ilvl="0">
      <w:start w:val="2"/>
      <w:numFmt w:val="decimal"/>
      <w:lvlText w:val="%1."/>
      <w:lvlJc w:val="left"/>
      <w:pPr>
        <w:tabs>
          <w:tab w:leader="none" w:pos="435" w:val="left"/>
        </w:tabs>
        <w:ind w:hanging="435" w:left="435"/>
      </w:pPr>
    </w:lvl>
    <w:lvl w:ilvl="1">
      <w:start w:val="1"/>
      <w:numFmt w:val="decimal"/>
      <w:lvlText w:val="%1.%2."/>
      <w:lvlJc w:val="left"/>
      <w:pPr>
        <w:tabs>
          <w:tab w:leader="none" w:pos="862" w:val="left"/>
        </w:tabs>
        <w:ind w:hanging="720" w:left="862"/>
      </w:pPr>
    </w:lvl>
    <w:lvl w:ilvl="2">
      <w:start w:val="1"/>
      <w:numFmt w:val="decimal"/>
      <w:lvlText w:val="%1.%2.%3."/>
      <w:lvlJc w:val="left"/>
      <w:pPr>
        <w:tabs>
          <w:tab w:leader="none" w:pos="1434" w:val="left"/>
        </w:tabs>
        <w:ind w:hanging="720" w:left="1434"/>
      </w:pPr>
    </w:lvl>
    <w:lvl w:ilvl="3">
      <w:start w:val="1"/>
      <w:numFmt w:val="decimal"/>
      <w:lvlText w:val="%1.%2.%3.%4."/>
      <w:lvlJc w:val="left"/>
      <w:pPr>
        <w:tabs>
          <w:tab w:leader="none" w:pos="2151" w:val="left"/>
        </w:tabs>
        <w:ind w:hanging="1080" w:left="2151"/>
      </w:pPr>
    </w:lvl>
    <w:lvl w:ilvl="4">
      <w:start w:val="1"/>
      <w:numFmt w:val="decimal"/>
      <w:lvlText w:val="%1.%2.%3.%4.%5."/>
      <w:lvlJc w:val="left"/>
      <w:pPr>
        <w:tabs>
          <w:tab w:leader="none" w:pos="2508" w:val="left"/>
        </w:tabs>
        <w:ind w:hanging="1080" w:left="2508"/>
      </w:pPr>
    </w:lvl>
    <w:lvl w:ilvl="5">
      <w:start w:val="1"/>
      <w:numFmt w:val="decimal"/>
      <w:lvlText w:val="%1.%2.%3.%4.%5.%6."/>
      <w:lvlJc w:val="left"/>
      <w:pPr>
        <w:tabs>
          <w:tab w:leader="none" w:pos="3225" w:val="left"/>
        </w:tabs>
        <w:ind w:hanging="1440" w:left="3225"/>
      </w:pPr>
    </w:lvl>
    <w:lvl w:ilvl="6">
      <w:start w:val="1"/>
      <w:numFmt w:val="decimal"/>
      <w:lvlText w:val="%1.%2.%3.%4.%5.%6.%7."/>
      <w:lvlJc w:val="left"/>
      <w:pPr>
        <w:tabs>
          <w:tab w:leader="none" w:pos="3942" w:val="left"/>
        </w:tabs>
        <w:ind w:hanging="1800" w:left="3942"/>
      </w:pPr>
    </w:lvl>
    <w:lvl w:ilvl="7">
      <w:start w:val="1"/>
      <w:numFmt w:val="decimal"/>
      <w:lvlText w:val="%1.%2.%3.%4.%5.%6.%7.%8."/>
      <w:lvlJc w:val="left"/>
      <w:pPr>
        <w:tabs>
          <w:tab w:leader="none" w:pos="4299" w:val="left"/>
        </w:tabs>
        <w:ind w:hanging="1800" w:left="4299"/>
      </w:pPr>
    </w:lvl>
    <w:lvl w:ilvl="8">
      <w:start w:val="1"/>
      <w:numFmt w:val="decimal"/>
      <w:lvlText w:val="%1.%2.%3.%4.%5.%6.%7.%8.%9."/>
      <w:lvlJc w:val="left"/>
      <w:pPr>
        <w:tabs>
          <w:tab w:leader="none" w:pos="5016" w:val="left"/>
        </w:tabs>
        <w:ind w:hanging="2160" w:left="5016"/>
      </w:pPr>
    </w:lvl>
  </w:abstractNum>
  <w:abstractNum w:abstractNumId="3">
    <w:lvl w:ilvl="0">
      <w:start w:val="0"/>
      <w:numFmt w:val="bullet"/>
      <w:lvlText w:val="*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2" w:type="paragraph">
    <w:name w:val="ConsTitle"/>
    <w:link w:val="Style_2_ch"/>
    <w:pPr>
      <w:widowControl w:val="0"/>
      <w:ind w:right="19772"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ocument Map"/>
    <w:basedOn w:val="Style_9"/>
    <w:link w:val="Style_14_ch"/>
    <w:rPr>
      <w:rFonts w:ascii="Tahoma" w:hAnsi="Tahoma"/>
    </w:rPr>
  </w:style>
  <w:style w:styleId="Style_14_ch" w:type="character">
    <w:name w:val="Document Map"/>
    <w:basedOn w:val="Style_9_ch"/>
    <w:link w:val="Style_14"/>
    <w:rPr>
      <w:rFonts w:ascii="Tahoma" w:hAnsi="Tahoma"/>
    </w:rPr>
  </w:style>
  <w:style w:styleId="Style_15" w:type="paragraph">
    <w:name w:val="heading 3"/>
    <w:next w:val="Style_9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Style3"/>
    <w:basedOn w:val="Style_9"/>
    <w:link w:val="Style_16_ch"/>
    <w:pPr>
      <w:widowControl w:val="0"/>
      <w:spacing w:line="173" w:lineRule="exact"/>
      <w:ind/>
      <w:jc w:val="center"/>
    </w:pPr>
    <w:rPr>
      <w:rFonts w:ascii="Arial Black" w:hAnsi="Arial Black"/>
    </w:rPr>
  </w:style>
  <w:style w:styleId="Style_16_ch" w:type="character">
    <w:name w:val="Style3"/>
    <w:basedOn w:val="Style_9_ch"/>
    <w:link w:val="Style_16"/>
    <w:rPr>
      <w:rFonts w:ascii="Arial Black" w:hAnsi="Arial Black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alloon Text"/>
    <w:basedOn w:val="Style_9"/>
    <w:link w:val="Style_18_ch"/>
    <w:rPr>
      <w:rFonts w:ascii="Tahoma" w:hAnsi="Tahoma"/>
      <w:sz w:val="16"/>
    </w:rPr>
  </w:style>
  <w:style w:styleId="Style_18_ch" w:type="character">
    <w:name w:val="Balloon Text"/>
    <w:basedOn w:val="Style_9_ch"/>
    <w:link w:val="Style_18"/>
    <w:rPr>
      <w:rFonts w:ascii="Tahoma" w:hAnsi="Tahoma"/>
      <w:sz w:val="16"/>
    </w:rPr>
  </w:style>
  <w:style w:styleId="Style_6" w:type="paragraph">
    <w:name w:val="No Spacing"/>
    <w:link w:val="Style_6_ch"/>
    <w:pPr>
      <w:widowControl w:val="0"/>
      <w:ind/>
    </w:pPr>
  </w:style>
  <w:style w:styleId="Style_6_ch" w:type="character">
    <w:name w:val="No Spacing"/>
    <w:link w:val="Style_6"/>
  </w:style>
  <w:style w:styleId="Style_19" w:type="paragraph">
    <w:name w:val="Font Style12"/>
    <w:link w:val="Style_19_ch"/>
    <w:rPr>
      <w:rFonts w:ascii="Microsoft Sans Serif" w:hAnsi="Microsoft Sans Serif"/>
      <w:b w:val="1"/>
      <w:sz w:val="14"/>
    </w:rPr>
  </w:style>
  <w:style w:styleId="Style_19_ch" w:type="character">
    <w:name w:val="Font Style12"/>
    <w:link w:val="Style_19"/>
    <w:rPr>
      <w:rFonts w:ascii="Microsoft Sans Serif" w:hAnsi="Microsoft Sans Serif"/>
      <w:b w:val="1"/>
      <w:sz w:val="14"/>
    </w:rPr>
  </w:style>
  <w:style w:styleId="Style_20" w:type="paragraph">
    <w:name w:val="Font Style13"/>
    <w:link w:val="Style_20_ch"/>
    <w:rPr>
      <w:rFonts w:ascii="Microsoft Sans Serif" w:hAnsi="Microsoft Sans Serif"/>
      <w:sz w:val="14"/>
    </w:rPr>
  </w:style>
  <w:style w:styleId="Style_20_ch" w:type="character">
    <w:name w:val="Font Style13"/>
    <w:link w:val="Style_20"/>
    <w:rPr>
      <w:rFonts w:ascii="Microsoft Sans Serif" w:hAnsi="Microsoft Sans Serif"/>
      <w:sz w:val="14"/>
    </w:rPr>
  </w:style>
  <w:style w:styleId="Style_21" w:type="paragraph">
    <w:name w:val="toc 3"/>
    <w:next w:val="Style_9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8" w:type="paragraph">
    <w:name w:val="Body Text Indent 2"/>
    <w:basedOn w:val="Style_9"/>
    <w:link w:val="Style_8_ch"/>
    <w:pPr>
      <w:widowControl w:val="0"/>
      <w:spacing w:after="120" w:line="480" w:lineRule="auto"/>
      <w:ind w:firstLine="0" w:left="283"/>
    </w:pPr>
    <w:rPr>
      <w:sz w:val="20"/>
    </w:rPr>
  </w:style>
  <w:style w:styleId="Style_8_ch" w:type="character">
    <w:name w:val="Body Text Indent 2"/>
    <w:basedOn w:val="Style_9_ch"/>
    <w:link w:val="Style_8"/>
    <w:rPr>
      <w:sz w:val="20"/>
    </w:rPr>
  </w:style>
  <w:style w:styleId="Style_22" w:type="paragraph">
    <w:name w:val="heading 5"/>
    <w:next w:val="Style_9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9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9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9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Body Text"/>
    <w:basedOn w:val="Style_9"/>
    <w:link w:val="Style_28_ch"/>
    <w:pPr>
      <w:spacing w:after="120"/>
      <w:ind/>
    </w:pPr>
  </w:style>
  <w:style w:styleId="Style_28_ch" w:type="character">
    <w:name w:val="Body Text"/>
    <w:basedOn w:val="Style_9_ch"/>
    <w:link w:val="Style_28"/>
  </w:style>
  <w:style w:styleId="Style_29" w:type="paragraph">
    <w:name w:val="toc 8"/>
    <w:next w:val="Style_9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5" w:type="paragraph">
    <w:name w:val="No Spacing"/>
    <w:link w:val="Style_5_ch"/>
    <w:rPr>
      <w:rFonts w:ascii="Calibri" w:hAnsi="Calibri"/>
      <w:sz w:val="22"/>
    </w:rPr>
  </w:style>
  <w:style w:styleId="Style_5_ch" w:type="character">
    <w:name w:val="No Spacing"/>
    <w:link w:val="Style_5"/>
    <w:rPr>
      <w:rFonts w:ascii="Calibri" w:hAnsi="Calibri"/>
      <w:sz w:val="22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30" w:type="paragraph">
    <w:name w:val="editlog"/>
    <w:basedOn w:val="Style_9"/>
    <w:link w:val="Style_30_ch"/>
    <w:pPr>
      <w:spacing w:afterAutospacing="on" w:beforeAutospacing="on"/>
      <w:ind/>
    </w:pPr>
  </w:style>
  <w:style w:styleId="Style_30_ch" w:type="character">
    <w:name w:val="editlog"/>
    <w:basedOn w:val="Style_9_ch"/>
    <w:link w:val="Style_30"/>
  </w:style>
  <w:style w:styleId="Style_31" w:type="paragraph">
    <w:name w:val="toc 5"/>
    <w:next w:val="Style_9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" w:type="paragraph">
    <w:name w:val="Normal (Web)"/>
    <w:basedOn w:val="Style_9"/>
    <w:link w:val="Style_3_ch"/>
    <w:pPr>
      <w:spacing w:afterAutospacing="on" w:beforeAutospacing="on"/>
      <w:ind/>
    </w:pPr>
  </w:style>
  <w:style w:styleId="Style_3_ch" w:type="character">
    <w:name w:val="Normal (Web)"/>
    <w:basedOn w:val="Style_9_ch"/>
    <w:link w:val="Style_3"/>
  </w:style>
  <w:style w:styleId="Style_32" w:type="paragraph">
    <w:name w:val="Subtitle"/>
    <w:next w:val="Style_9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9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1" w:type="paragraph">
    <w:name w:val="Body Text 3"/>
    <w:basedOn w:val="Style_9"/>
    <w:link w:val="Style_1_ch"/>
    <w:pPr>
      <w:ind/>
      <w:jc w:val="both"/>
    </w:pPr>
  </w:style>
  <w:style w:styleId="Style_1_ch" w:type="character">
    <w:name w:val="Body Text 3"/>
    <w:basedOn w:val="Style_9_ch"/>
    <w:link w:val="Style_1"/>
  </w:style>
  <w:style w:styleId="Style_34" w:type="paragraph">
    <w:name w:val="heading 4"/>
    <w:next w:val="Style_9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9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2023-11-08T16:16:51Z</dcterms:modified>
</cp:coreProperties>
</file>